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F3F" w:rsidRPr="006500BB" w:rsidRDefault="00FA67CA" w:rsidP="00FA67CA">
      <w:pPr>
        <w:pStyle w:val="ConsPlusNormal"/>
        <w:ind w:firstLine="5670"/>
        <w:outlineLvl w:val="0"/>
        <w:rPr>
          <w:szCs w:val="24"/>
        </w:rPr>
      </w:pPr>
      <w:r w:rsidRPr="006500BB">
        <w:rPr>
          <w:szCs w:val="24"/>
        </w:rPr>
        <w:t>УТВЕРЖДЕН</w:t>
      </w:r>
    </w:p>
    <w:p w:rsidR="00822F3F" w:rsidRPr="006500BB" w:rsidRDefault="00FA67CA" w:rsidP="00FA67CA">
      <w:pPr>
        <w:pStyle w:val="ConsPlusNormal"/>
        <w:ind w:firstLine="5670"/>
        <w:rPr>
          <w:szCs w:val="24"/>
        </w:rPr>
      </w:pPr>
      <w:r w:rsidRPr="006500BB">
        <w:rPr>
          <w:szCs w:val="24"/>
        </w:rPr>
        <w:t>п</w:t>
      </w:r>
      <w:r w:rsidR="00822F3F" w:rsidRPr="006500BB">
        <w:rPr>
          <w:szCs w:val="24"/>
        </w:rPr>
        <w:t>риказом</w:t>
      </w:r>
      <w:r w:rsidRPr="006500BB">
        <w:rPr>
          <w:szCs w:val="24"/>
        </w:rPr>
        <w:t xml:space="preserve"> </w:t>
      </w:r>
      <w:r w:rsidR="00822F3F" w:rsidRPr="006500BB">
        <w:rPr>
          <w:szCs w:val="24"/>
        </w:rPr>
        <w:t>Финансового управления</w:t>
      </w:r>
    </w:p>
    <w:p w:rsidR="00822F3F" w:rsidRPr="006500BB" w:rsidRDefault="00FA67CA" w:rsidP="00FA67CA">
      <w:pPr>
        <w:pStyle w:val="ConsPlusNormal"/>
        <w:ind w:firstLine="5670"/>
        <w:rPr>
          <w:szCs w:val="24"/>
        </w:rPr>
      </w:pPr>
      <w:r w:rsidRPr="006500BB">
        <w:rPr>
          <w:szCs w:val="24"/>
        </w:rPr>
        <w:t>А</w:t>
      </w:r>
      <w:r w:rsidR="00822F3F" w:rsidRPr="006500BB">
        <w:rPr>
          <w:szCs w:val="24"/>
        </w:rPr>
        <w:t>дминистрации городского</w:t>
      </w:r>
    </w:p>
    <w:p w:rsidR="00822F3F" w:rsidRPr="006500BB" w:rsidRDefault="00822F3F" w:rsidP="00FA67CA">
      <w:pPr>
        <w:pStyle w:val="ConsPlusNormal"/>
        <w:ind w:firstLine="5670"/>
        <w:rPr>
          <w:szCs w:val="24"/>
        </w:rPr>
      </w:pPr>
      <w:r w:rsidRPr="006500BB">
        <w:rPr>
          <w:szCs w:val="24"/>
        </w:rPr>
        <w:t>округа Красноуфимск</w:t>
      </w:r>
    </w:p>
    <w:p w:rsidR="00822F3F" w:rsidRPr="006500BB" w:rsidRDefault="00822F3F" w:rsidP="00FA67CA">
      <w:pPr>
        <w:pStyle w:val="ConsPlusNormal"/>
        <w:ind w:firstLine="5670"/>
        <w:rPr>
          <w:szCs w:val="24"/>
        </w:rPr>
      </w:pPr>
      <w:r w:rsidRPr="006500BB">
        <w:rPr>
          <w:szCs w:val="24"/>
        </w:rPr>
        <w:t xml:space="preserve">от </w:t>
      </w:r>
      <w:r w:rsidR="00AD5DBF">
        <w:rPr>
          <w:szCs w:val="24"/>
        </w:rPr>
        <w:softHyphen/>
      </w:r>
      <w:r w:rsidR="00F82035">
        <w:rPr>
          <w:szCs w:val="24"/>
        </w:rPr>
        <w:t xml:space="preserve">11 марта </w:t>
      </w:r>
      <w:r w:rsidRPr="006500BB">
        <w:rPr>
          <w:szCs w:val="24"/>
        </w:rPr>
        <w:t xml:space="preserve">2025 г. № </w:t>
      </w:r>
      <w:r w:rsidR="00F82035">
        <w:rPr>
          <w:szCs w:val="24"/>
        </w:rPr>
        <w:t>17</w:t>
      </w:r>
      <w:bookmarkStart w:id="0" w:name="_GoBack"/>
      <w:bookmarkEnd w:id="0"/>
    </w:p>
    <w:p w:rsidR="00822F3F" w:rsidRPr="006500BB" w:rsidRDefault="00822F3F" w:rsidP="00822F3F">
      <w:pPr>
        <w:pStyle w:val="ConsPlusNormal"/>
        <w:jc w:val="both"/>
        <w:rPr>
          <w:szCs w:val="24"/>
        </w:rPr>
      </w:pPr>
    </w:p>
    <w:p w:rsidR="00822F3F" w:rsidRPr="006500BB" w:rsidRDefault="00822F3F" w:rsidP="00FA67CA">
      <w:pPr>
        <w:pStyle w:val="ConsPlusTitle"/>
        <w:jc w:val="center"/>
        <w:rPr>
          <w:rFonts w:ascii="Times New Roman" w:hAnsi="Times New Roman" w:cs="Times New Roman"/>
          <w:szCs w:val="24"/>
        </w:rPr>
      </w:pPr>
      <w:bookmarkStart w:id="1" w:name="P34"/>
      <w:bookmarkEnd w:id="1"/>
      <w:r w:rsidRPr="006500BB">
        <w:rPr>
          <w:rFonts w:ascii="Times New Roman" w:hAnsi="Times New Roman" w:cs="Times New Roman"/>
          <w:szCs w:val="24"/>
        </w:rPr>
        <w:t>ПОРЯДОК</w:t>
      </w:r>
    </w:p>
    <w:p w:rsidR="00F95724" w:rsidRPr="006500BB" w:rsidRDefault="00822F3F" w:rsidP="00FA67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0BB">
        <w:rPr>
          <w:rFonts w:ascii="Times New Roman" w:hAnsi="Times New Roman" w:cs="Times New Roman"/>
          <w:b/>
          <w:sz w:val="24"/>
          <w:szCs w:val="24"/>
        </w:rPr>
        <w:t>проведения мониторинга качества финансового менеджмента</w:t>
      </w:r>
    </w:p>
    <w:p w:rsidR="00822F3F" w:rsidRPr="006500BB" w:rsidRDefault="00822F3F" w:rsidP="00FA67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F3F" w:rsidRPr="006500BB" w:rsidRDefault="00822F3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Настоящий порядок определяет процедуру и сроки проведения мониторинга качества финансового менеджмента, в том числе:</w:t>
      </w:r>
    </w:p>
    <w:p w:rsidR="00822F3F" w:rsidRPr="006500BB" w:rsidRDefault="00822F3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1) правила расчета и анализа значений показателей качества финансового менеджмента (далее - показатели), формирования и представления информации, необходимой для проведения мониторинга качества финансового менеджмента;</w:t>
      </w:r>
    </w:p>
    <w:p w:rsidR="00822F3F" w:rsidRPr="006500BB" w:rsidRDefault="00822F3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2) правила формирования и представления отчета о результатах мониторинга качества финансового менеджмента.</w:t>
      </w:r>
    </w:p>
    <w:p w:rsidR="00822F3F" w:rsidRPr="006500BB" w:rsidRDefault="00822F3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2. Мониторинг качества финансового менеджмента включает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</w:t>
      </w:r>
      <w:r w:rsidR="00D40F31" w:rsidRPr="006500BB">
        <w:rPr>
          <w:szCs w:val="24"/>
        </w:rPr>
        <w:t>муниципаль</w:t>
      </w:r>
      <w:r w:rsidRPr="006500BB">
        <w:rPr>
          <w:szCs w:val="24"/>
        </w:rPr>
        <w:t>ных нужд.</w:t>
      </w:r>
    </w:p>
    <w:p w:rsidR="00822F3F" w:rsidRPr="006500BB" w:rsidRDefault="00822F3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3. Мониторинг качества финансового менеджмента проводится по следующим направлениям:</w:t>
      </w:r>
    </w:p>
    <w:p w:rsidR="00822F3F" w:rsidRPr="006500BB" w:rsidRDefault="00822F3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1) бюджетное планирование;</w:t>
      </w:r>
    </w:p>
    <w:p w:rsidR="00822F3F" w:rsidRPr="006500BB" w:rsidRDefault="00822F3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2) исполнение </w:t>
      </w:r>
      <w:r w:rsidR="006500BB" w:rsidRPr="006500BB">
        <w:rPr>
          <w:szCs w:val="24"/>
        </w:rPr>
        <w:t>местного</w:t>
      </w:r>
      <w:r w:rsidRPr="006500BB">
        <w:rPr>
          <w:szCs w:val="24"/>
        </w:rPr>
        <w:t xml:space="preserve"> бюджета;</w:t>
      </w:r>
    </w:p>
    <w:p w:rsidR="00822F3F" w:rsidRPr="006500BB" w:rsidRDefault="00822F3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3) результативность функционирования </w:t>
      </w:r>
      <w:r w:rsidR="00D40F31" w:rsidRPr="006500BB">
        <w:rPr>
          <w:szCs w:val="24"/>
        </w:rPr>
        <w:t>муниципальных</w:t>
      </w:r>
      <w:r w:rsidRPr="006500BB">
        <w:rPr>
          <w:szCs w:val="24"/>
        </w:rPr>
        <w:t xml:space="preserve"> учреждений </w:t>
      </w:r>
      <w:r w:rsidR="00D40F31" w:rsidRPr="006500BB">
        <w:rPr>
          <w:szCs w:val="24"/>
        </w:rPr>
        <w:t>городского округа Красноуфимск</w:t>
      </w:r>
      <w:r w:rsidRPr="006500BB">
        <w:rPr>
          <w:szCs w:val="24"/>
        </w:rPr>
        <w:t>;</w:t>
      </w:r>
    </w:p>
    <w:p w:rsidR="00822F3F" w:rsidRPr="006500BB" w:rsidRDefault="00822F3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4) контроль и финансовая дисциплина, включающие качество управления активами и осуществления закупок товаров, работ и услуг для обеспечения </w:t>
      </w:r>
      <w:r w:rsidR="00D40F31" w:rsidRPr="006500BB">
        <w:rPr>
          <w:szCs w:val="24"/>
        </w:rPr>
        <w:t>муниципаль</w:t>
      </w:r>
      <w:r w:rsidRPr="006500BB">
        <w:rPr>
          <w:szCs w:val="24"/>
        </w:rPr>
        <w:t>ных нужд.</w:t>
      </w:r>
    </w:p>
    <w:p w:rsidR="00822F3F" w:rsidRPr="006500BB" w:rsidRDefault="00822F3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4. Главные распорядители средств местного бюджета, главные администраторы доходов местного бюджета, главные администраторы источников финансирования дефицита местного бюджета </w:t>
      </w:r>
      <w:r w:rsidR="00310CC2" w:rsidRPr="006500BB">
        <w:rPr>
          <w:szCs w:val="24"/>
        </w:rPr>
        <w:t xml:space="preserve">(кроме Думы городского округа Красноуфимск и Ревизионной комиссии городского округа Красноуфимск)  </w:t>
      </w:r>
      <w:r w:rsidRPr="006500BB">
        <w:rPr>
          <w:szCs w:val="24"/>
        </w:rPr>
        <w:t>(далее - главные администраторы бюджетных средств) в срок до 2</w:t>
      </w:r>
      <w:r w:rsidR="00D40F31" w:rsidRPr="006500BB">
        <w:rPr>
          <w:szCs w:val="24"/>
        </w:rPr>
        <w:t>5</w:t>
      </w:r>
      <w:r w:rsidRPr="006500BB">
        <w:rPr>
          <w:szCs w:val="24"/>
        </w:rPr>
        <w:t xml:space="preserve"> марта года, следующего за отчетным, представляют в Финансовое управление Администрации городского округа Красноуфимск (далее – Финансовое управление) </w:t>
      </w:r>
      <w:hyperlink w:anchor="P127" w:tooltip="СВЕДЕНИЯ">
        <w:r w:rsidRPr="006500BB">
          <w:rPr>
            <w:szCs w:val="24"/>
          </w:rPr>
          <w:t>сведения</w:t>
        </w:r>
      </w:hyperlink>
      <w:r w:rsidRPr="006500BB">
        <w:rPr>
          <w:szCs w:val="24"/>
        </w:rPr>
        <w:t xml:space="preserve"> для проведения мониторинга качества финансового менеджмента по форме согласно приложению № 1 к настоящему </w:t>
      </w:r>
      <w:r w:rsidR="00436D76">
        <w:rPr>
          <w:szCs w:val="24"/>
        </w:rPr>
        <w:t>п</w:t>
      </w:r>
      <w:r w:rsidRPr="006500BB">
        <w:rPr>
          <w:szCs w:val="24"/>
        </w:rPr>
        <w:t>орядку.</w:t>
      </w:r>
    </w:p>
    <w:p w:rsidR="00822F3F" w:rsidRPr="006500BB" w:rsidRDefault="00102388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5. Управление экономического развития Администрации городского округа Красноуфимск в срок до 01 апреля года, следующего за отчетным, представляет в Финансовое управление сведения, необходимые для расчета показателя, указанного в строке </w:t>
      </w:r>
      <w:hyperlink w:anchor="P357" w:history="1">
        <w:r w:rsidRPr="006500BB">
          <w:rPr>
            <w:szCs w:val="24"/>
          </w:rPr>
          <w:t>4</w:t>
        </w:r>
      </w:hyperlink>
      <w:r w:rsidRPr="006500BB">
        <w:rPr>
          <w:szCs w:val="24"/>
        </w:rPr>
        <w:t xml:space="preserve"> приложения № 2 к настоящему </w:t>
      </w:r>
      <w:r w:rsidR="00436D76">
        <w:rPr>
          <w:szCs w:val="24"/>
        </w:rPr>
        <w:t>п</w:t>
      </w:r>
      <w:r w:rsidRPr="006500BB">
        <w:rPr>
          <w:szCs w:val="24"/>
        </w:rPr>
        <w:t>орядку.</w:t>
      </w:r>
    </w:p>
    <w:p w:rsidR="00310CC2" w:rsidRPr="006500BB" w:rsidRDefault="00310CC2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6. Мониторинг качества финансового менеджмента проводится Финансовым управлением ежегодно, в срок до 20 апреля года, следующего за отчетным, по </w:t>
      </w:r>
      <w:hyperlink w:anchor="P296" w:history="1">
        <w:r w:rsidRPr="006500BB">
          <w:rPr>
            <w:szCs w:val="24"/>
          </w:rPr>
          <w:t>показателям</w:t>
        </w:r>
      </w:hyperlink>
      <w:r w:rsidRPr="006500BB">
        <w:rPr>
          <w:szCs w:val="24"/>
        </w:rPr>
        <w:t xml:space="preserve"> мониторинга качества финансового менеджмента</w:t>
      </w:r>
      <w:r w:rsidR="00436D76">
        <w:rPr>
          <w:szCs w:val="24"/>
        </w:rPr>
        <w:t xml:space="preserve">, указанным в </w:t>
      </w:r>
      <w:r w:rsidRPr="006500BB">
        <w:rPr>
          <w:szCs w:val="24"/>
        </w:rPr>
        <w:t>приложени</w:t>
      </w:r>
      <w:r w:rsidR="00436D76">
        <w:rPr>
          <w:szCs w:val="24"/>
        </w:rPr>
        <w:t>и</w:t>
      </w:r>
      <w:r w:rsidRPr="006500BB">
        <w:rPr>
          <w:szCs w:val="24"/>
        </w:rPr>
        <w:t xml:space="preserve"> № 2 к настоящему </w:t>
      </w:r>
      <w:r w:rsidR="00436D76">
        <w:rPr>
          <w:szCs w:val="24"/>
        </w:rPr>
        <w:t>п</w:t>
      </w:r>
      <w:r w:rsidRPr="006500BB">
        <w:rPr>
          <w:szCs w:val="24"/>
        </w:rPr>
        <w:t>орядку.</w:t>
      </w:r>
    </w:p>
    <w:p w:rsidR="00310CC2" w:rsidRPr="006500BB" w:rsidRDefault="00310CC2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7. Мониторинг качества финансового менеджмента осуществляется Финансовым управлением на основании материалов, имеющихся в распоряжении Финансового управления (сводная бюджетная роспись, реестр расходных обязательств </w:t>
      </w:r>
      <w:r w:rsidR="00436D76">
        <w:rPr>
          <w:szCs w:val="24"/>
        </w:rPr>
        <w:t>главных распорядителей средств</w:t>
      </w:r>
      <w:r w:rsidRPr="006500BB">
        <w:rPr>
          <w:szCs w:val="24"/>
        </w:rPr>
        <w:t xml:space="preserve"> </w:t>
      </w:r>
      <w:r w:rsidR="00436D76">
        <w:rPr>
          <w:szCs w:val="24"/>
        </w:rPr>
        <w:t xml:space="preserve">местного бюджета </w:t>
      </w:r>
      <w:r w:rsidRPr="006500BB">
        <w:rPr>
          <w:szCs w:val="24"/>
        </w:rPr>
        <w:t xml:space="preserve">на очередной финансовый год и плановый период, решение </w:t>
      </w:r>
      <w:r w:rsidR="00436D76">
        <w:rPr>
          <w:szCs w:val="24"/>
        </w:rPr>
        <w:t xml:space="preserve">Думы </w:t>
      </w:r>
      <w:r w:rsidRPr="006500BB">
        <w:rPr>
          <w:szCs w:val="24"/>
        </w:rPr>
        <w:t>о бюджете на очередной финансовый год и плановый период, годовая бюджетная отчетность, обоснования бюджетных ассигнований</w:t>
      </w:r>
      <w:r w:rsidR="00436D76">
        <w:rPr>
          <w:szCs w:val="24"/>
        </w:rPr>
        <w:t xml:space="preserve"> и иные материалы</w:t>
      </w:r>
      <w:r w:rsidRPr="006500BB">
        <w:rPr>
          <w:szCs w:val="24"/>
        </w:rPr>
        <w:t xml:space="preserve">), сведений, представляемых </w:t>
      </w:r>
      <w:r w:rsidR="00436D76">
        <w:rPr>
          <w:szCs w:val="24"/>
        </w:rPr>
        <w:t>главными администраторами бюджетных средств</w:t>
      </w:r>
      <w:r w:rsidRPr="006500BB">
        <w:rPr>
          <w:szCs w:val="24"/>
        </w:rPr>
        <w:t xml:space="preserve"> в соответствии с </w:t>
      </w:r>
      <w:hyperlink w:anchor="P55" w:history="1">
        <w:r w:rsidRPr="006500BB">
          <w:rPr>
            <w:szCs w:val="24"/>
          </w:rPr>
          <w:t>пунктом 4</w:t>
        </w:r>
      </w:hyperlink>
      <w:r w:rsidRPr="006500BB">
        <w:rPr>
          <w:szCs w:val="24"/>
        </w:rPr>
        <w:t xml:space="preserve"> настоящего </w:t>
      </w:r>
      <w:r w:rsidR="00436D76">
        <w:rPr>
          <w:szCs w:val="24"/>
        </w:rPr>
        <w:t>п</w:t>
      </w:r>
      <w:r w:rsidRPr="006500BB">
        <w:rPr>
          <w:szCs w:val="24"/>
        </w:rPr>
        <w:t>орядка</w:t>
      </w:r>
      <w:r w:rsidR="00111E75" w:rsidRPr="006500BB">
        <w:rPr>
          <w:szCs w:val="24"/>
        </w:rPr>
        <w:t>,</w:t>
      </w:r>
      <w:r w:rsidRPr="006500BB">
        <w:rPr>
          <w:szCs w:val="24"/>
        </w:rPr>
        <w:t xml:space="preserve"> Управлением</w:t>
      </w:r>
      <w:r w:rsidR="00111E75" w:rsidRPr="006500BB">
        <w:rPr>
          <w:szCs w:val="24"/>
        </w:rPr>
        <w:t xml:space="preserve"> </w:t>
      </w:r>
      <w:r w:rsidRPr="006500BB">
        <w:rPr>
          <w:szCs w:val="24"/>
        </w:rPr>
        <w:t>экономического развития администрации</w:t>
      </w:r>
      <w:r w:rsidR="00111E75" w:rsidRPr="006500BB">
        <w:rPr>
          <w:szCs w:val="24"/>
        </w:rPr>
        <w:t xml:space="preserve"> </w:t>
      </w:r>
      <w:r w:rsidRPr="006500BB">
        <w:rPr>
          <w:szCs w:val="24"/>
        </w:rPr>
        <w:t xml:space="preserve">городского округа Красноуфимск в соответствии с </w:t>
      </w:r>
      <w:hyperlink w:anchor="P59" w:history="1">
        <w:r w:rsidRPr="006500BB">
          <w:rPr>
            <w:szCs w:val="24"/>
          </w:rPr>
          <w:t>пунктом 5</w:t>
        </w:r>
      </w:hyperlink>
      <w:r w:rsidRPr="006500BB">
        <w:rPr>
          <w:szCs w:val="24"/>
        </w:rPr>
        <w:t xml:space="preserve"> настоящего </w:t>
      </w:r>
      <w:r w:rsidRPr="006500BB">
        <w:rPr>
          <w:szCs w:val="24"/>
        </w:rPr>
        <w:lastRenderedPageBreak/>
        <w:t>Порядка</w:t>
      </w:r>
      <w:r w:rsidR="00111E75" w:rsidRPr="006500BB">
        <w:rPr>
          <w:szCs w:val="24"/>
        </w:rPr>
        <w:t>, а также размещенных на официальных сайтах главных администраторов бюджетных средств в информационно-телекоммуникационной сети «Интернет»</w:t>
      </w:r>
      <w:r w:rsidRPr="006500BB">
        <w:rPr>
          <w:szCs w:val="24"/>
        </w:rPr>
        <w:t>.</w:t>
      </w:r>
    </w:p>
    <w:p w:rsidR="00891BBF" w:rsidRPr="006500BB" w:rsidRDefault="00891BB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8. Финансовое управление на основе материалов и сведений, указанных в </w:t>
      </w:r>
      <w:hyperlink w:anchor="P62" w:history="1">
        <w:r w:rsidRPr="006500BB">
          <w:rPr>
            <w:szCs w:val="24"/>
          </w:rPr>
          <w:t>пункте 7</w:t>
        </w:r>
      </w:hyperlink>
      <w:r w:rsidRPr="006500BB">
        <w:rPr>
          <w:szCs w:val="24"/>
        </w:rPr>
        <w:t xml:space="preserve"> настоящего </w:t>
      </w:r>
      <w:r w:rsidR="00436D76">
        <w:rPr>
          <w:szCs w:val="24"/>
        </w:rPr>
        <w:t>п</w:t>
      </w:r>
      <w:r w:rsidRPr="006500BB">
        <w:rPr>
          <w:szCs w:val="24"/>
        </w:rPr>
        <w:t>орядка, осуществляет расчет показателей для мониторинга качества финансового менеджмента и выводит оценку по каждому показателю.</w:t>
      </w:r>
    </w:p>
    <w:p w:rsidR="00891BBF" w:rsidRPr="006500BB" w:rsidRDefault="00891BB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Значение отдельных показателей качества финансового менеджмента уменьшается на один балл в случае представления ГРБС недостоверных сведений для проведения мониторинга качества финансового менеджмента.</w:t>
      </w:r>
    </w:p>
    <w:p w:rsidR="00891BBF" w:rsidRPr="006500BB" w:rsidRDefault="00891BB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При непредставлении </w:t>
      </w:r>
      <w:r w:rsidR="00223EC8">
        <w:rPr>
          <w:szCs w:val="24"/>
        </w:rPr>
        <w:t>главными администраторами бюджетных средств</w:t>
      </w:r>
      <w:r w:rsidRPr="006500BB">
        <w:rPr>
          <w:szCs w:val="24"/>
        </w:rPr>
        <w:t xml:space="preserve"> либо представлении недостоверных сведений для проведения мониторинга качества финансового менеджмента Финансовое управление использует для расчета показателей для мониторинга качества финансового менеджмента материалы и сведения, имеющиеся в его распоряжении.</w:t>
      </w:r>
    </w:p>
    <w:p w:rsidR="005C39BF" w:rsidRPr="006500BB" w:rsidRDefault="005C39BF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Для </w:t>
      </w:r>
      <w:r w:rsidR="00223EC8">
        <w:rPr>
          <w:szCs w:val="24"/>
        </w:rPr>
        <w:t>главных администраторов бюджетных средств</w:t>
      </w:r>
      <w:r w:rsidRPr="006500BB">
        <w:rPr>
          <w:szCs w:val="24"/>
        </w:rPr>
        <w:t>, не осуществляющих формирование муниципальных программ городского округа Красноуфимск, по показателям, указанным в строках 1</w:t>
      </w:r>
      <w:r w:rsidR="00FE45DC">
        <w:rPr>
          <w:szCs w:val="24"/>
        </w:rPr>
        <w:t>-</w:t>
      </w:r>
      <w:r w:rsidRPr="006500BB">
        <w:rPr>
          <w:szCs w:val="24"/>
        </w:rPr>
        <w:t xml:space="preserve">4 приложения № 2 к настоящему </w:t>
      </w:r>
      <w:r w:rsidR="00FE5904" w:rsidRPr="006500BB">
        <w:rPr>
          <w:szCs w:val="24"/>
        </w:rPr>
        <w:t>п</w:t>
      </w:r>
      <w:r w:rsidRPr="006500BB">
        <w:rPr>
          <w:szCs w:val="24"/>
        </w:rPr>
        <w:t>орядку, для мониторинга качества финансового менеджмента применяется условная оценка, равная нулю.</w:t>
      </w:r>
    </w:p>
    <w:p w:rsidR="00F64AA6" w:rsidRPr="006500BB" w:rsidRDefault="00F64AA6" w:rsidP="00F64AA6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Для главных администраторов бюджетных средств, в отношении которых не установлен план формирования налоговых и неналоговых доходов местного бюджета и которые не имели фактических поступлений в отчетном финансовом году, по показателю, указанному в строке 1</w:t>
      </w:r>
      <w:r w:rsidR="007C6773">
        <w:rPr>
          <w:szCs w:val="24"/>
        </w:rPr>
        <w:t>0</w:t>
      </w:r>
      <w:r>
        <w:rPr>
          <w:szCs w:val="24"/>
        </w:rPr>
        <w:t xml:space="preserve"> приложения № 2 к настоящему порядку, для мониторинга качества финансового менеджмента применяется оценка, равная нулю.</w:t>
      </w:r>
    </w:p>
    <w:p w:rsidR="001016D1" w:rsidRDefault="001016D1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Для </w:t>
      </w:r>
      <w:r w:rsidR="00120E88">
        <w:rPr>
          <w:szCs w:val="24"/>
        </w:rPr>
        <w:t>главных администраторов бюджетных средств</w:t>
      </w:r>
      <w:r w:rsidRPr="006500BB">
        <w:rPr>
          <w:szCs w:val="24"/>
        </w:rPr>
        <w:t xml:space="preserve">, в ведении которых отсутствуют муниципальные казенные, бюджетные и (или) автономные учреждения, либо не формирующих муниципальное задание для муниципальных казенных учреждений, по показателю, указанному в </w:t>
      </w:r>
      <w:hyperlink w:anchor="P544" w:history="1">
        <w:r w:rsidRPr="006500BB">
          <w:rPr>
            <w:szCs w:val="24"/>
          </w:rPr>
          <w:t xml:space="preserve">строке </w:t>
        </w:r>
      </w:hyperlink>
      <w:r w:rsidRPr="006500BB">
        <w:rPr>
          <w:szCs w:val="24"/>
        </w:rPr>
        <w:t>1</w:t>
      </w:r>
      <w:r w:rsidR="009C1F38">
        <w:rPr>
          <w:szCs w:val="24"/>
        </w:rPr>
        <w:t>4</w:t>
      </w:r>
      <w:r w:rsidRPr="006500BB">
        <w:rPr>
          <w:color w:val="FF0000"/>
          <w:szCs w:val="24"/>
        </w:rPr>
        <w:t xml:space="preserve"> </w:t>
      </w:r>
      <w:r w:rsidRPr="006500BB">
        <w:rPr>
          <w:szCs w:val="24"/>
        </w:rPr>
        <w:t xml:space="preserve">приложения </w:t>
      </w:r>
      <w:r w:rsidR="00FE5904" w:rsidRPr="006500BB">
        <w:rPr>
          <w:szCs w:val="24"/>
        </w:rPr>
        <w:t>№</w:t>
      </w:r>
      <w:r w:rsidRPr="006500BB">
        <w:rPr>
          <w:szCs w:val="24"/>
        </w:rPr>
        <w:t xml:space="preserve"> 2 к настоящему </w:t>
      </w:r>
      <w:r w:rsidR="00FE5904" w:rsidRPr="006500BB">
        <w:rPr>
          <w:szCs w:val="24"/>
        </w:rPr>
        <w:t>п</w:t>
      </w:r>
      <w:r w:rsidRPr="006500BB">
        <w:rPr>
          <w:szCs w:val="24"/>
        </w:rPr>
        <w:t>орядку, для мониторинга качества финансового менеджмента применяется условная оценка, равная нулю.</w:t>
      </w:r>
    </w:p>
    <w:p w:rsidR="001016D1" w:rsidRPr="006500BB" w:rsidRDefault="001016D1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Для </w:t>
      </w:r>
      <w:r w:rsidR="00120E88">
        <w:rPr>
          <w:szCs w:val="24"/>
        </w:rPr>
        <w:t>главных администраторов бюджетных средств</w:t>
      </w:r>
      <w:r w:rsidRPr="006500BB">
        <w:rPr>
          <w:szCs w:val="24"/>
        </w:rPr>
        <w:t xml:space="preserve">, в ведении которых отсутствуют муниципальные казенные, бюджетные и (или) автономные учреждения, по показателям, указанным в </w:t>
      </w:r>
      <w:hyperlink w:anchor="P559" w:history="1">
        <w:r w:rsidRPr="006500BB">
          <w:rPr>
            <w:szCs w:val="24"/>
          </w:rPr>
          <w:t xml:space="preserve">строках </w:t>
        </w:r>
      </w:hyperlink>
      <w:r w:rsidRPr="006500BB">
        <w:rPr>
          <w:szCs w:val="24"/>
        </w:rPr>
        <w:t>1</w:t>
      </w:r>
      <w:r w:rsidR="009C1F38">
        <w:rPr>
          <w:szCs w:val="24"/>
        </w:rPr>
        <w:t>5</w:t>
      </w:r>
      <w:r w:rsidR="00B2650D">
        <w:rPr>
          <w:szCs w:val="24"/>
        </w:rPr>
        <w:t>-2</w:t>
      </w:r>
      <w:r w:rsidR="009C1F38">
        <w:rPr>
          <w:szCs w:val="24"/>
        </w:rPr>
        <w:t>1</w:t>
      </w:r>
      <w:r w:rsidR="00FE5904" w:rsidRPr="006500BB">
        <w:rPr>
          <w:szCs w:val="24"/>
        </w:rPr>
        <w:t xml:space="preserve"> </w:t>
      </w:r>
      <w:r w:rsidRPr="006500BB">
        <w:rPr>
          <w:szCs w:val="24"/>
        </w:rPr>
        <w:t xml:space="preserve">приложения </w:t>
      </w:r>
      <w:r w:rsidR="00FE5904" w:rsidRPr="006500BB">
        <w:rPr>
          <w:szCs w:val="24"/>
        </w:rPr>
        <w:t>№</w:t>
      </w:r>
      <w:r w:rsidRPr="006500BB">
        <w:rPr>
          <w:szCs w:val="24"/>
        </w:rPr>
        <w:t xml:space="preserve"> 2 к настоящему </w:t>
      </w:r>
      <w:r w:rsidR="00FE5904" w:rsidRPr="006500BB">
        <w:rPr>
          <w:szCs w:val="24"/>
        </w:rPr>
        <w:t>п</w:t>
      </w:r>
      <w:r w:rsidRPr="006500BB">
        <w:rPr>
          <w:szCs w:val="24"/>
        </w:rPr>
        <w:t>орядку, для мониторинга качества финансового менеджмента применяется условная оценка, равная нулю.</w:t>
      </w:r>
    </w:p>
    <w:p w:rsidR="001016D1" w:rsidRPr="006500BB" w:rsidRDefault="001016D1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Расчет показателя, указанного в </w:t>
      </w:r>
      <w:hyperlink w:anchor="P630" w:history="1">
        <w:r w:rsidRPr="006500BB">
          <w:rPr>
            <w:szCs w:val="24"/>
          </w:rPr>
          <w:t xml:space="preserve">строке </w:t>
        </w:r>
      </w:hyperlink>
      <w:r w:rsidR="009C1F38">
        <w:rPr>
          <w:szCs w:val="24"/>
        </w:rPr>
        <w:t>19</w:t>
      </w:r>
      <w:r w:rsidRPr="006500BB">
        <w:rPr>
          <w:szCs w:val="24"/>
        </w:rPr>
        <w:t xml:space="preserve"> приложения </w:t>
      </w:r>
      <w:r w:rsidR="00FE5904" w:rsidRPr="006500BB">
        <w:rPr>
          <w:szCs w:val="24"/>
        </w:rPr>
        <w:t>№</w:t>
      </w:r>
      <w:r w:rsidRPr="006500BB">
        <w:rPr>
          <w:szCs w:val="24"/>
        </w:rPr>
        <w:t xml:space="preserve"> 2 к настоящему </w:t>
      </w:r>
      <w:r w:rsidR="00FE5904" w:rsidRPr="006500BB">
        <w:rPr>
          <w:szCs w:val="24"/>
        </w:rPr>
        <w:t>п</w:t>
      </w:r>
      <w:r w:rsidRPr="006500BB">
        <w:rPr>
          <w:szCs w:val="24"/>
        </w:rPr>
        <w:t>орядку, осуществляется в следующем порядке:</w:t>
      </w:r>
    </w:p>
    <w:p w:rsidR="001016D1" w:rsidRPr="006500BB" w:rsidRDefault="001016D1" w:rsidP="00FA67CA">
      <w:pPr>
        <w:pStyle w:val="ConsPlusNormal"/>
        <w:numPr>
          <w:ilvl w:val="0"/>
          <w:numId w:val="1"/>
        </w:numPr>
        <w:jc w:val="both"/>
        <w:rPr>
          <w:szCs w:val="24"/>
        </w:rPr>
      </w:pPr>
      <w:r w:rsidRPr="006500BB">
        <w:rPr>
          <w:szCs w:val="24"/>
        </w:rPr>
        <w:t xml:space="preserve">для </w:t>
      </w:r>
      <w:r w:rsidR="00436D76">
        <w:rPr>
          <w:szCs w:val="24"/>
        </w:rPr>
        <w:t>главных администраторов бюджетных средств</w:t>
      </w:r>
      <w:r w:rsidRPr="006500BB">
        <w:rPr>
          <w:szCs w:val="24"/>
        </w:rPr>
        <w:t>, в ведении которых имеется от 1 до 10 муниципальных казенных, бюджетных и (или) автономных учреждений, качество размещаемой информации оценивается по всем учреждениям;</w:t>
      </w:r>
    </w:p>
    <w:p w:rsidR="001016D1" w:rsidRPr="006500BB" w:rsidRDefault="001016D1" w:rsidP="00FA67CA">
      <w:pPr>
        <w:pStyle w:val="ConsPlusNormal"/>
        <w:numPr>
          <w:ilvl w:val="0"/>
          <w:numId w:val="1"/>
        </w:numPr>
        <w:jc w:val="both"/>
        <w:rPr>
          <w:szCs w:val="24"/>
        </w:rPr>
      </w:pPr>
      <w:r w:rsidRPr="006500BB">
        <w:rPr>
          <w:szCs w:val="24"/>
        </w:rPr>
        <w:t xml:space="preserve">для </w:t>
      </w:r>
      <w:r w:rsidR="00436D76">
        <w:rPr>
          <w:szCs w:val="24"/>
        </w:rPr>
        <w:t>главных администраторов бюджетных средств</w:t>
      </w:r>
      <w:r w:rsidRPr="006500BB">
        <w:rPr>
          <w:szCs w:val="24"/>
        </w:rPr>
        <w:t>, в ведении которых имеется от 11 до 100 муниципальных казенных, бюджетных и (или) автономных учреждений, качество размещаемой информации оценивается в соответствии с произвольной выборкой по 5 учреждениям.</w:t>
      </w:r>
    </w:p>
    <w:p w:rsidR="001016D1" w:rsidRPr="006500BB" w:rsidRDefault="001016D1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Для </w:t>
      </w:r>
      <w:r w:rsidR="00241774">
        <w:rPr>
          <w:szCs w:val="24"/>
        </w:rPr>
        <w:t>главных администраторов бюджетных средств</w:t>
      </w:r>
      <w:r w:rsidRPr="006500BB">
        <w:rPr>
          <w:szCs w:val="24"/>
        </w:rPr>
        <w:t>, в отношении которых контрольные мероприятия уполномоченными органами финансового контроля в отчетном финансовом году не проводились, по показател</w:t>
      </w:r>
      <w:r w:rsidR="00241774">
        <w:rPr>
          <w:szCs w:val="24"/>
        </w:rPr>
        <w:t>ям</w:t>
      </w:r>
      <w:r w:rsidRPr="006500BB">
        <w:rPr>
          <w:szCs w:val="24"/>
        </w:rPr>
        <w:t>, указанн</w:t>
      </w:r>
      <w:r w:rsidR="00241774">
        <w:rPr>
          <w:szCs w:val="24"/>
        </w:rPr>
        <w:t>ым</w:t>
      </w:r>
      <w:r w:rsidRPr="006500BB">
        <w:rPr>
          <w:szCs w:val="24"/>
        </w:rPr>
        <w:t xml:space="preserve"> в </w:t>
      </w:r>
      <w:hyperlink w:anchor="P675" w:history="1">
        <w:r w:rsidRPr="006500BB">
          <w:rPr>
            <w:szCs w:val="24"/>
          </w:rPr>
          <w:t>строк</w:t>
        </w:r>
        <w:r w:rsidR="00241774">
          <w:rPr>
            <w:szCs w:val="24"/>
          </w:rPr>
          <w:t>ах</w:t>
        </w:r>
        <w:r w:rsidRPr="006500BB">
          <w:rPr>
            <w:szCs w:val="24"/>
          </w:rPr>
          <w:t xml:space="preserve"> </w:t>
        </w:r>
      </w:hyperlink>
      <w:r w:rsidRPr="006500BB">
        <w:rPr>
          <w:szCs w:val="24"/>
        </w:rPr>
        <w:t>2</w:t>
      </w:r>
      <w:r w:rsidR="009C1F38">
        <w:rPr>
          <w:szCs w:val="24"/>
        </w:rPr>
        <w:t>3</w:t>
      </w:r>
      <w:r w:rsidR="00241774">
        <w:rPr>
          <w:szCs w:val="24"/>
        </w:rPr>
        <w:t>-2</w:t>
      </w:r>
      <w:r w:rsidR="009C1F38">
        <w:rPr>
          <w:szCs w:val="24"/>
        </w:rPr>
        <w:t>5</w:t>
      </w:r>
      <w:r w:rsidRPr="006500BB">
        <w:rPr>
          <w:szCs w:val="24"/>
        </w:rPr>
        <w:t xml:space="preserve"> приложения </w:t>
      </w:r>
      <w:r w:rsidR="00FE5904" w:rsidRPr="006500BB">
        <w:rPr>
          <w:szCs w:val="24"/>
        </w:rPr>
        <w:t>№</w:t>
      </w:r>
      <w:r w:rsidRPr="006500BB">
        <w:rPr>
          <w:szCs w:val="24"/>
        </w:rPr>
        <w:t xml:space="preserve"> 2 к настоящему </w:t>
      </w:r>
      <w:r w:rsidR="00FE5904" w:rsidRPr="006500BB">
        <w:rPr>
          <w:szCs w:val="24"/>
        </w:rPr>
        <w:t>п</w:t>
      </w:r>
      <w:r w:rsidRPr="006500BB">
        <w:rPr>
          <w:szCs w:val="24"/>
        </w:rPr>
        <w:t>орядку, для мониторинга качества финансового менеджмента применяется условная оценка, равная нулю.</w:t>
      </w:r>
    </w:p>
    <w:p w:rsidR="00D100B3" w:rsidRPr="006500BB" w:rsidRDefault="00D100B3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9. На основании данных оценки показателей качества финансового менеджмента, рассчитанных в соответствии с </w:t>
      </w:r>
      <w:hyperlink w:anchor="P63" w:history="1">
        <w:r w:rsidRPr="006500BB">
          <w:rPr>
            <w:szCs w:val="24"/>
          </w:rPr>
          <w:t>пунктом 8</w:t>
        </w:r>
      </w:hyperlink>
      <w:r w:rsidRPr="006500BB">
        <w:rPr>
          <w:szCs w:val="24"/>
        </w:rPr>
        <w:t xml:space="preserve"> настоящего порядка, Финансовым управлением определяется итоговая оценка качества финансового менеджмента по каждому </w:t>
      </w:r>
      <w:r w:rsidR="00241774">
        <w:rPr>
          <w:szCs w:val="24"/>
        </w:rPr>
        <w:t>главному администратору бюджетных средств</w:t>
      </w:r>
      <w:r w:rsidRPr="006500BB">
        <w:rPr>
          <w:szCs w:val="24"/>
        </w:rPr>
        <w:t xml:space="preserve">, исходя из процента достижения максимально возможного количества баллов, и составляется </w:t>
      </w:r>
      <w:r w:rsidR="00241774">
        <w:rPr>
          <w:szCs w:val="24"/>
        </w:rPr>
        <w:t>информация о результатах оценки</w:t>
      </w:r>
      <w:r w:rsidRPr="006500BB">
        <w:rPr>
          <w:szCs w:val="24"/>
        </w:rPr>
        <w:t xml:space="preserve"> качества </w:t>
      </w:r>
      <w:r w:rsidRPr="006500BB">
        <w:rPr>
          <w:szCs w:val="24"/>
        </w:rPr>
        <w:lastRenderedPageBreak/>
        <w:t>финансового менеджмента.</w:t>
      </w:r>
    </w:p>
    <w:p w:rsidR="00D100B3" w:rsidRPr="006500BB" w:rsidRDefault="00D100B3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Итоговая оценка качества финансового менеджмента рассчитывается в процентах по единым для всех </w:t>
      </w:r>
      <w:r w:rsidR="00241774">
        <w:rPr>
          <w:szCs w:val="24"/>
        </w:rPr>
        <w:t>главных администраторов бюджетных средств</w:t>
      </w:r>
      <w:r w:rsidRPr="006500BB">
        <w:rPr>
          <w:szCs w:val="24"/>
        </w:rPr>
        <w:t xml:space="preserve"> методологическим принципам по следующей формуле:</w:t>
      </w:r>
    </w:p>
    <w:p w:rsidR="00D100B3" w:rsidRPr="006500BB" w:rsidRDefault="00D100B3" w:rsidP="00FA67CA">
      <w:pPr>
        <w:pStyle w:val="ConsPlusNormal"/>
        <w:ind w:firstLine="540"/>
        <w:jc w:val="center"/>
        <w:rPr>
          <w:szCs w:val="24"/>
        </w:rPr>
      </w:pPr>
      <w:r w:rsidRPr="006500BB">
        <w:rPr>
          <w:noProof/>
          <w:position w:val="-33"/>
          <w:szCs w:val="24"/>
        </w:rPr>
        <w:drawing>
          <wp:inline distT="0" distB="0" distL="0" distR="0" wp14:anchorId="263B16CF" wp14:editId="43E6BB3F">
            <wp:extent cx="2045970" cy="58293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0B3" w:rsidRPr="006500BB" w:rsidRDefault="00D100B3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E - итоговая оценка по </w:t>
      </w:r>
      <w:r w:rsidR="00241774">
        <w:rPr>
          <w:szCs w:val="24"/>
        </w:rPr>
        <w:t>главному администратору бюджетных средств</w:t>
      </w:r>
      <w:r w:rsidRPr="006500BB">
        <w:rPr>
          <w:szCs w:val="24"/>
        </w:rPr>
        <w:t>;</w:t>
      </w:r>
    </w:p>
    <w:p w:rsidR="00D100B3" w:rsidRPr="006500BB" w:rsidRDefault="00D100B3" w:rsidP="00FA67CA">
      <w:pPr>
        <w:pStyle w:val="ConsPlusNormal"/>
        <w:ind w:firstLine="540"/>
        <w:jc w:val="both"/>
        <w:rPr>
          <w:szCs w:val="24"/>
        </w:rPr>
      </w:pPr>
      <w:proofErr w:type="spellStart"/>
      <w:r w:rsidRPr="006500BB">
        <w:rPr>
          <w:szCs w:val="24"/>
        </w:rPr>
        <w:t>Ai</w:t>
      </w:r>
      <w:proofErr w:type="spellEnd"/>
      <w:r w:rsidRPr="006500BB">
        <w:rPr>
          <w:szCs w:val="24"/>
        </w:rPr>
        <w:t xml:space="preserve"> - оценка по i-</w:t>
      </w:r>
      <w:proofErr w:type="spellStart"/>
      <w:r w:rsidRPr="006500BB">
        <w:rPr>
          <w:szCs w:val="24"/>
        </w:rPr>
        <w:t>му</w:t>
      </w:r>
      <w:proofErr w:type="spellEnd"/>
      <w:r w:rsidRPr="006500BB">
        <w:rPr>
          <w:szCs w:val="24"/>
        </w:rPr>
        <w:t xml:space="preserve"> показателю </w:t>
      </w:r>
      <w:r w:rsidR="00241774">
        <w:rPr>
          <w:szCs w:val="24"/>
        </w:rPr>
        <w:t>оценки качества финансового менеджмента</w:t>
      </w:r>
      <w:r w:rsidRPr="006500BB">
        <w:rPr>
          <w:szCs w:val="24"/>
        </w:rPr>
        <w:t>;</w:t>
      </w:r>
    </w:p>
    <w:p w:rsidR="00D100B3" w:rsidRPr="006500BB" w:rsidRDefault="00D100B3" w:rsidP="00FA67CA">
      <w:pPr>
        <w:pStyle w:val="ConsPlusNormal"/>
        <w:ind w:firstLine="540"/>
        <w:jc w:val="both"/>
        <w:rPr>
          <w:szCs w:val="24"/>
        </w:rPr>
      </w:pPr>
      <w:proofErr w:type="spellStart"/>
      <w:r w:rsidRPr="006500BB">
        <w:rPr>
          <w:szCs w:val="24"/>
        </w:rPr>
        <w:t>Aimax</w:t>
      </w:r>
      <w:proofErr w:type="spellEnd"/>
      <w:r w:rsidRPr="006500BB">
        <w:rPr>
          <w:szCs w:val="24"/>
        </w:rPr>
        <w:t xml:space="preserve"> - максимально возможная оценка по i-</w:t>
      </w:r>
      <w:proofErr w:type="spellStart"/>
      <w:r w:rsidRPr="006500BB">
        <w:rPr>
          <w:szCs w:val="24"/>
        </w:rPr>
        <w:t>му</w:t>
      </w:r>
      <w:proofErr w:type="spellEnd"/>
      <w:r w:rsidRPr="006500BB">
        <w:rPr>
          <w:szCs w:val="24"/>
        </w:rPr>
        <w:t xml:space="preserve"> показателю </w:t>
      </w:r>
      <w:r w:rsidR="003A28ED">
        <w:rPr>
          <w:szCs w:val="24"/>
        </w:rPr>
        <w:t xml:space="preserve">оценки </w:t>
      </w:r>
      <w:r w:rsidR="00241774">
        <w:rPr>
          <w:szCs w:val="24"/>
        </w:rPr>
        <w:t xml:space="preserve">качества </w:t>
      </w:r>
      <w:r w:rsidR="003A28ED">
        <w:rPr>
          <w:szCs w:val="24"/>
        </w:rPr>
        <w:t>финансового менеджмента по главному администратору бюджетных средств</w:t>
      </w:r>
      <w:r w:rsidRPr="006500BB">
        <w:rPr>
          <w:szCs w:val="24"/>
        </w:rPr>
        <w:t>.</w:t>
      </w:r>
    </w:p>
    <w:p w:rsidR="00D100B3" w:rsidRPr="006500BB" w:rsidRDefault="00D100B3" w:rsidP="00FA67CA">
      <w:pPr>
        <w:pStyle w:val="ConsPlusNormal"/>
        <w:ind w:firstLine="540"/>
        <w:jc w:val="both"/>
        <w:rPr>
          <w:szCs w:val="24"/>
        </w:rPr>
      </w:pPr>
    </w:p>
    <w:p w:rsidR="00C41630" w:rsidRPr="006500BB" w:rsidRDefault="00C41630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Информация о результатах оценки качества финансового менеджмента формируется по группам качества финансового менеджмента:</w:t>
      </w:r>
    </w:p>
    <w:p w:rsidR="00C41630" w:rsidRPr="006500BB" w:rsidRDefault="00C41630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1) с высоким качеством финансового менеджмента (</w:t>
      </w:r>
      <w:proofErr w:type="gramStart"/>
      <w:r w:rsidRPr="006500BB">
        <w:rPr>
          <w:szCs w:val="24"/>
        </w:rPr>
        <w:t>E &gt;</w:t>
      </w:r>
      <w:proofErr w:type="gramEnd"/>
      <w:r w:rsidRPr="006500BB">
        <w:rPr>
          <w:szCs w:val="24"/>
        </w:rPr>
        <w:t>= 85%);</w:t>
      </w:r>
    </w:p>
    <w:p w:rsidR="00C41630" w:rsidRPr="006500BB" w:rsidRDefault="00C41630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2) с приемлемым качеством финансового менеджмента (75% &lt;= E </w:t>
      </w:r>
      <w:proofErr w:type="gramStart"/>
      <w:r w:rsidRPr="006500BB">
        <w:rPr>
          <w:szCs w:val="24"/>
        </w:rPr>
        <w:t>&lt; 85</w:t>
      </w:r>
      <w:proofErr w:type="gramEnd"/>
      <w:r w:rsidRPr="006500BB">
        <w:rPr>
          <w:szCs w:val="24"/>
        </w:rPr>
        <w:t>%);</w:t>
      </w:r>
    </w:p>
    <w:p w:rsidR="00C41630" w:rsidRPr="006500BB" w:rsidRDefault="00C41630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3) с низким качеством финансового менеджмента (E </w:t>
      </w:r>
      <w:proofErr w:type="gramStart"/>
      <w:r w:rsidRPr="006500BB">
        <w:rPr>
          <w:szCs w:val="24"/>
        </w:rPr>
        <w:t>&lt; 75</w:t>
      </w:r>
      <w:proofErr w:type="gramEnd"/>
      <w:r w:rsidRPr="006500BB">
        <w:rPr>
          <w:szCs w:val="24"/>
        </w:rPr>
        <w:t>%).</w:t>
      </w:r>
    </w:p>
    <w:p w:rsidR="00D100B3" w:rsidRPr="006500BB" w:rsidRDefault="00D100B3" w:rsidP="00FA67CA">
      <w:pPr>
        <w:pStyle w:val="ConsPlusNormal"/>
        <w:ind w:firstLine="540"/>
        <w:jc w:val="both"/>
        <w:rPr>
          <w:szCs w:val="24"/>
        </w:rPr>
      </w:pPr>
    </w:p>
    <w:p w:rsidR="00FA67CA" w:rsidRPr="006500BB" w:rsidRDefault="00FA67CA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10.  Финансовое управление в срок до 20 апреля года, следующего за отчетным, направляет </w:t>
      </w:r>
      <w:r w:rsidR="003A28ED">
        <w:rPr>
          <w:szCs w:val="24"/>
        </w:rPr>
        <w:t>главным администраторам бюджетных средств</w:t>
      </w:r>
      <w:r w:rsidRPr="006500BB">
        <w:rPr>
          <w:szCs w:val="24"/>
        </w:rPr>
        <w:t xml:space="preserve"> информацию о полученных предварительных результатах оценки качества финансового менеджмента с указанием значений оценки показателей.</w:t>
      </w:r>
    </w:p>
    <w:p w:rsidR="00FA67CA" w:rsidRPr="006500BB" w:rsidRDefault="00FA67CA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11. Г</w:t>
      </w:r>
      <w:r w:rsidR="003A28ED">
        <w:rPr>
          <w:szCs w:val="24"/>
        </w:rPr>
        <w:t>лавные администраторы бюджетных средств</w:t>
      </w:r>
      <w:r w:rsidRPr="006500BB">
        <w:rPr>
          <w:szCs w:val="24"/>
        </w:rPr>
        <w:t xml:space="preserve"> в срок до 25 апреля года, следующего за отчетным, представляют в Финансовое управление замечания по предварительным результатам оценки качества финансового менеджмента и предложения по уточнению сведений, необходимых для расчета показателей.</w:t>
      </w:r>
    </w:p>
    <w:p w:rsidR="00FA67CA" w:rsidRPr="006500BB" w:rsidRDefault="00FA67CA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 xml:space="preserve">12. Финансовое управление в срок до 10 мая года, следующего за отчетным, рассматривает представленные </w:t>
      </w:r>
      <w:r w:rsidR="003A28ED">
        <w:rPr>
          <w:szCs w:val="24"/>
        </w:rPr>
        <w:t>администраторами бюджетных средств</w:t>
      </w:r>
      <w:r w:rsidR="003A28ED" w:rsidRPr="003A28ED">
        <w:rPr>
          <w:szCs w:val="24"/>
        </w:rPr>
        <w:t xml:space="preserve"> </w:t>
      </w:r>
      <w:r w:rsidRPr="006500BB">
        <w:rPr>
          <w:szCs w:val="24"/>
        </w:rPr>
        <w:t>замечания и предложения и обеспечивает опубликование рейтинга качества финансового менеджмента на официальном сайте администрации городского округа Красноуфимск в информационно-телекоммуникационной сети Интернет.</w:t>
      </w:r>
    </w:p>
    <w:p w:rsidR="00FA67CA" w:rsidRPr="006500BB" w:rsidRDefault="00FA67CA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13. Г</w:t>
      </w:r>
      <w:r w:rsidR="003A28ED">
        <w:rPr>
          <w:szCs w:val="24"/>
        </w:rPr>
        <w:t>лавные администраторы бюджетных средств</w:t>
      </w:r>
      <w:r w:rsidRPr="006500BB">
        <w:rPr>
          <w:szCs w:val="24"/>
        </w:rPr>
        <w:t xml:space="preserve"> с низким качеством финансового менеджмента в срок до 15 мая года, следующего за отчетным, представляют в Финансовое управление информацию о планируемых </w:t>
      </w:r>
      <w:hyperlink w:anchor="P1102" w:tooltip="МЕРОПРИЯТИЯ,">
        <w:r w:rsidRPr="006500BB">
          <w:rPr>
            <w:szCs w:val="24"/>
          </w:rPr>
          <w:t>мероприятиях</w:t>
        </w:r>
      </w:hyperlink>
      <w:r w:rsidRPr="006500BB">
        <w:rPr>
          <w:szCs w:val="24"/>
        </w:rPr>
        <w:t xml:space="preserve">, направленных на повышение качества финансового менеджмента, по форме согласно приложению № </w:t>
      </w:r>
      <w:r w:rsidR="003A28ED">
        <w:rPr>
          <w:szCs w:val="24"/>
        </w:rPr>
        <w:t>3</w:t>
      </w:r>
      <w:r w:rsidRPr="006500BB">
        <w:rPr>
          <w:szCs w:val="24"/>
        </w:rPr>
        <w:t xml:space="preserve"> к настоящему порядку, с указанием причин невыполнения показателей, по которым оценка не достигла значений максимальной оценки, установленной для данного показателя.</w:t>
      </w:r>
    </w:p>
    <w:p w:rsidR="00FA67CA" w:rsidRPr="006500BB" w:rsidRDefault="00FA67CA" w:rsidP="00FA67CA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14. Результаты проведенного мониторинга качества финансового менеджмента оформляются Финансовым управлением в форме аналитической записки и в срок до 01 июня года, следующего за отчетным, направляются Главе городского округа Красноуфимск.</w:t>
      </w:r>
    </w:p>
    <w:p w:rsidR="00111E75" w:rsidRPr="006500BB" w:rsidRDefault="00111E75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FA67CA">
      <w:pPr>
        <w:pStyle w:val="ConsPlusNormal"/>
        <w:jc w:val="both"/>
        <w:rPr>
          <w:szCs w:val="24"/>
        </w:rPr>
      </w:pPr>
    </w:p>
    <w:p w:rsidR="003331E4" w:rsidRPr="006500BB" w:rsidRDefault="003331E4" w:rsidP="003331E4">
      <w:pPr>
        <w:pStyle w:val="ConsPlusNormal"/>
        <w:jc w:val="right"/>
        <w:outlineLvl w:val="1"/>
        <w:rPr>
          <w:szCs w:val="24"/>
        </w:rPr>
      </w:pPr>
      <w:r w:rsidRPr="006500BB">
        <w:rPr>
          <w:szCs w:val="24"/>
        </w:rPr>
        <w:lastRenderedPageBreak/>
        <w:t>Приложение № 1</w:t>
      </w:r>
    </w:p>
    <w:p w:rsidR="003331E4" w:rsidRPr="006500BB" w:rsidRDefault="003331E4" w:rsidP="003331E4">
      <w:pPr>
        <w:pStyle w:val="ConsPlusNormal"/>
        <w:jc w:val="right"/>
        <w:rPr>
          <w:szCs w:val="24"/>
        </w:rPr>
      </w:pPr>
      <w:r w:rsidRPr="006500BB">
        <w:rPr>
          <w:szCs w:val="24"/>
        </w:rPr>
        <w:t>к порядку проведения мониторинга</w:t>
      </w:r>
    </w:p>
    <w:p w:rsidR="003331E4" w:rsidRPr="006500BB" w:rsidRDefault="003331E4" w:rsidP="003331E4">
      <w:pPr>
        <w:pStyle w:val="ConsPlusNormal"/>
        <w:jc w:val="right"/>
        <w:rPr>
          <w:szCs w:val="24"/>
        </w:rPr>
      </w:pPr>
      <w:r w:rsidRPr="006500BB">
        <w:rPr>
          <w:szCs w:val="24"/>
        </w:rPr>
        <w:t>качества финансового менеджмента</w:t>
      </w:r>
    </w:p>
    <w:p w:rsidR="00310CC2" w:rsidRPr="006500BB" w:rsidRDefault="00310CC2" w:rsidP="00310CC2">
      <w:pPr>
        <w:pStyle w:val="ConsPlusNormal"/>
        <w:ind w:firstLine="540"/>
        <w:jc w:val="both"/>
        <w:rPr>
          <w:szCs w:val="24"/>
        </w:rPr>
      </w:pPr>
    </w:p>
    <w:p w:rsidR="003331E4" w:rsidRPr="006500BB" w:rsidRDefault="003331E4" w:rsidP="003331E4">
      <w:pPr>
        <w:pStyle w:val="ConsPlusNormal"/>
        <w:jc w:val="both"/>
        <w:rPr>
          <w:szCs w:val="24"/>
        </w:rPr>
      </w:pPr>
      <w:r w:rsidRPr="006500BB">
        <w:rPr>
          <w:szCs w:val="24"/>
        </w:rPr>
        <w:t>Форма</w:t>
      </w:r>
    </w:p>
    <w:p w:rsidR="003331E4" w:rsidRPr="004B6AAA" w:rsidRDefault="003331E4" w:rsidP="003331E4">
      <w:pPr>
        <w:pStyle w:val="ConsPlusNormal"/>
        <w:jc w:val="center"/>
        <w:rPr>
          <w:b/>
          <w:szCs w:val="24"/>
        </w:rPr>
      </w:pPr>
      <w:bookmarkStart w:id="2" w:name="P127"/>
      <w:bookmarkEnd w:id="2"/>
      <w:r w:rsidRPr="004B6AAA">
        <w:rPr>
          <w:b/>
          <w:szCs w:val="24"/>
        </w:rPr>
        <w:t>СВЕДЕНИЯ</w:t>
      </w:r>
    </w:p>
    <w:p w:rsidR="003331E4" w:rsidRPr="004B6AAA" w:rsidRDefault="003331E4" w:rsidP="003331E4">
      <w:pPr>
        <w:pStyle w:val="ConsPlusNormal"/>
        <w:jc w:val="center"/>
        <w:rPr>
          <w:b/>
          <w:szCs w:val="24"/>
        </w:rPr>
      </w:pPr>
      <w:r w:rsidRPr="004B6AAA">
        <w:rPr>
          <w:b/>
          <w:szCs w:val="24"/>
        </w:rPr>
        <w:t>для проведения мониторинга качества финансового менеджмента</w:t>
      </w:r>
    </w:p>
    <w:p w:rsidR="003331E4" w:rsidRPr="006500BB" w:rsidRDefault="003331E4" w:rsidP="003331E4">
      <w:pPr>
        <w:pStyle w:val="ConsPlusNormal"/>
        <w:jc w:val="center"/>
        <w:rPr>
          <w:szCs w:val="24"/>
        </w:rPr>
      </w:pPr>
    </w:p>
    <w:tbl>
      <w:tblPr>
        <w:tblW w:w="96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812"/>
        <w:gridCol w:w="1559"/>
        <w:gridCol w:w="1562"/>
      </w:tblGrid>
      <w:tr w:rsidR="004B6AAA" w:rsidRPr="006500BB" w:rsidTr="00BC5701">
        <w:tc>
          <w:tcPr>
            <w:tcW w:w="709" w:type="dxa"/>
          </w:tcPr>
          <w:p w:rsidR="004B6AAA" w:rsidRPr="006500BB" w:rsidRDefault="004B6AAA" w:rsidP="004B6AA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  <w:r w:rsidRPr="006500BB">
              <w:rPr>
                <w:szCs w:val="24"/>
              </w:rPr>
              <w:t xml:space="preserve"> п/п</w:t>
            </w:r>
          </w:p>
        </w:tc>
        <w:tc>
          <w:tcPr>
            <w:tcW w:w="5812" w:type="dxa"/>
          </w:tcPr>
          <w:p w:rsidR="004B6AAA" w:rsidRPr="006500BB" w:rsidRDefault="004B6AAA" w:rsidP="004B6AAA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4B6AAA" w:rsidRPr="006500BB" w:rsidRDefault="004B6AAA" w:rsidP="004B6AAA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Единица измерения</w:t>
            </w:r>
          </w:p>
        </w:tc>
        <w:tc>
          <w:tcPr>
            <w:tcW w:w="1562" w:type="dxa"/>
          </w:tcPr>
          <w:p w:rsidR="004B6AAA" w:rsidRPr="006500BB" w:rsidRDefault="004B6AAA" w:rsidP="004B6AAA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Значение параметра</w:t>
            </w:r>
          </w:p>
        </w:tc>
      </w:tr>
      <w:tr w:rsidR="004B6AAA" w:rsidRPr="006500BB" w:rsidTr="00BC5701">
        <w:tc>
          <w:tcPr>
            <w:tcW w:w="709" w:type="dxa"/>
          </w:tcPr>
          <w:p w:rsidR="004B6AAA" w:rsidRPr="006500BB" w:rsidRDefault="004B6AAA" w:rsidP="004B6AAA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1</w:t>
            </w:r>
          </w:p>
        </w:tc>
        <w:tc>
          <w:tcPr>
            <w:tcW w:w="5812" w:type="dxa"/>
          </w:tcPr>
          <w:p w:rsidR="004B6AAA" w:rsidRPr="006500BB" w:rsidRDefault="004B6AAA" w:rsidP="004B6AAA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2</w:t>
            </w:r>
          </w:p>
        </w:tc>
        <w:tc>
          <w:tcPr>
            <w:tcW w:w="1559" w:type="dxa"/>
          </w:tcPr>
          <w:p w:rsidR="004B6AAA" w:rsidRPr="006500BB" w:rsidRDefault="004B6AAA" w:rsidP="004B6AAA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3</w:t>
            </w:r>
          </w:p>
        </w:tc>
        <w:tc>
          <w:tcPr>
            <w:tcW w:w="1562" w:type="dxa"/>
          </w:tcPr>
          <w:p w:rsidR="004B6AAA" w:rsidRPr="006500BB" w:rsidRDefault="004B6AAA" w:rsidP="004B6AAA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4</w:t>
            </w: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3331E4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 xml:space="preserve">Объем бюджетных ассигнований </w:t>
            </w:r>
            <w:r w:rsidR="0038378A">
              <w:rPr>
                <w:szCs w:val="24"/>
              </w:rPr>
              <w:t xml:space="preserve">на финансовое обеспечение </w:t>
            </w:r>
            <w:r w:rsidR="0074719D">
              <w:rPr>
                <w:szCs w:val="24"/>
              </w:rPr>
              <w:t>реализации муниципальных программ</w:t>
            </w:r>
            <w:r w:rsidRPr="006500BB">
              <w:rPr>
                <w:szCs w:val="24"/>
              </w:rPr>
              <w:t xml:space="preserve"> </w:t>
            </w:r>
            <w:r w:rsidR="00EB47E7">
              <w:rPr>
                <w:szCs w:val="24"/>
              </w:rPr>
              <w:t>ГО</w:t>
            </w:r>
            <w:r w:rsidRPr="006500BB">
              <w:rPr>
                <w:szCs w:val="24"/>
              </w:rPr>
              <w:t xml:space="preserve"> Красноуфимск</w:t>
            </w:r>
            <w:r w:rsidR="0074719D">
              <w:rPr>
                <w:szCs w:val="24"/>
              </w:rPr>
              <w:t xml:space="preserve">, реализуемых ответственным исполнителем муниципальной программы, на год следующий за отчетным, в соответствии с решением Думы о бюджете </w:t>
            </w:r>
            <w:r w:rsidR="00EB47E7">
              <w:rPr>
                <w:szCs w:val="24"/>
              </w:rPr>
              <w:t>ГО</w:t>
            </w:r>
            <w:r w:rsidR="0074719D">
              <w:rPr>
                <w:szCs w:val="24"/>
              </w:rPr>
              <w:t xml:space="preserve"> Красноуфимск на соответствующий год и плановый</w:t>
            </w:r>
            <w:r w:rsidRPr="006500BB">
              <w:rPr>
                <w:szCs w:val="24"/>
              </w:rPr>
              <w:t xml:space="preserve"> период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тыс. рублей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 xml:space="preserve">Объем бюджетных ассигнований </w:t>
            </w:r>
            <w:r w:rsidR="00BC5701">
              <w:rPr>
                <w:szCs w:val="24"/>
              </w:rPr>
              <w:t>главного администратора бюджетных средств</w:t>
            </w:r>
            <w:r w:rsidRPr="006500BB">
              <w:rPr>
                <w:szCs w:val="24"/>
              </w:rPr>
              <w:t xml:space="preserve"> по сводной бюджетной росписи с учетом внесенных изменений по состоянию на конец отчетного периода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тыс. рублей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3331E4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 xml:space="preserve">Реквизиты, наименование постановления администрации </w:t>
            </w:r>
            <w:r w:rsidR="00EB47E7">
              <w:rPr>
                <w:szCs w:val="24"/>
              </w:rPr>
              <w:t>ГО</w:t>
            </w:r>
            <w:r w:rsidRPr="006500BB">
              <w:rPr>
                <w:szCs w:val="24"/>
              </w:rPr>
              <w:t xml:space="preserve"> Красноуфимск о внесении изменений в отчетном году или в году, следующим за отчетным, в муниципальную программу, разрабатываемую и реализуемую </w:t>
            </w:r>
            <w:r w:rsidR="0074719D">
              <w:rPr>
                <w:szCs w:val="24"/>
              </w:rPr>
              <w:t>ответственным исполнителем</w:t>
            </w:r>
            <w:r w:rsidRPr="006500BB">
              <w:rPr>
                <w:szCs w:val="24"/>
              </w:rPr>
              <w:t>, с целью приведения ее в соответствие с решением о бюджете на соответствующий год и плановый период (в случае необходимости)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дата, номер, наименование постановления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3331E4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 xml:space="preserve">Размещение на официальном сайте </w:t>
            </w:r>
            <w:r w:rsidR="00BC5701">
              <w:rPr>
                <w:szCs w:val="24"/>
              </w:rPr>
              <w:t>ответственного исполнителя муниципальной программы</w:t>
            </w:r>
            <w:r w:rsidRPr="006500BB">
              <w:rPr>
                <w:szCs w:val="24"/>
              </w:rPr>
              <w:t xml:space="preserve"> или администрации </w:t>
            </w:r>
            <w:r w:rsidR="00EB47E7">
              <w:rPr>
                <w:szCs w:val="24"/>
              </w:rPr>
              <w:t>ГО</w:t>
            </w:r>
            <w:r w:rsidRPr="006500BB">
              <w:rPr>
                <w:szCs w:val="24"/>
              </w:rPr>
              <w:t xml:space="preserve"> Красноуфимск в информационно-телекоммуникационной сети «Интернет» муниципальных программ, разрабатываемых и реализуемых </w:t>
            </w:r>
            <w:r w:rsidR="00BC5701">
              <w:rPr>
                <w:szCs w:val="24"/>
              </w:rPr>
              <w:t>ответственным исполнителем муниципальной программы</w:t>
            </w:r>
            <w:r w:rsidRPr="006500BB">
              <w:rPr>
                <w:szCs w:val="24"/>
              </w:rPr>
              <w:t xml:space="preserve"> (в актуальной редакции), на момент проведения мониторинга качества финансового менеджмента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адрес размещения на официальном сайте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F4C1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3331E4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 xml:space="preserve">Размещение на официальном сайте </w:t>
            </w:r>
            <w:r w:rsidR="00BC5701">
              <w:rPr>
                <w:szCs w:val="24"/>
              </w:rPr>
              <w:t>ответственного исполнителя муниципальной программы</w:t>
            </w:r>
            <w:r w:rsidRPr="006500BB">
              <w:rPr>
                <w:szCs w:val="24"/>
              </w:rPr>
              <w:t xml:space="preserve"> или администрации </w:t>
            </w:r>
            <w:r w:rsidR="00EB47E7">
              <w:rPr>
                <w:szCs w:val="24"/>
              </w:rPr>
              <w:t>ГО</w:t>
            </w:r>
            <w:r w:rsidRPr="006500BB">
              <w:rPr>
                <w:szCs w:val="24"/>
              </w:rPr>
              <w:t xml:space="preserve"> Красноуфимск в информационно-телекоммуникационной сети «Интернет» отчетов о реализации муниципальных программ, разрабатываемых и реализуемых </w:t>
            </w:r>
            <w:r w:rsidR="00BC5701">
              <w:rPr>
                <w:szCs w:val="24"/>
              </w:rPr>
              <w:t>ответственным исполнителем муниципальной программы</w:t>
            </w:r>
            <w:r w:rsidRPr="006500BB">
              <w:rPr>
                <w:szCs w:val="24"/>
              </w:rPr>
              <w:t>, по итогам отчетного финансового года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адрес размещения на официальном сайте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5A1B00" w:rsidRPr="006500BB" w:rsidTr="00BC5701">
        <w:tc>
          <w:tcPr>
            <w:tcW w:w="709" w:type="dxa"/>
          </w:tcPr>
          <w:p w:rsidR="005A1B00" w:rsidRPr="006500BB" w:rsidRDefault="005A1B00" w:rsidP="005A1B00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5A1B00" w:rsidRPr="003C1902" w:rsidRDefault="005A1B00" w:rsidP="005A1B00">
            <w:pPr>
              <w:pStyle w:val="ConsPlusNormal"/>
            </w:pPr>
            <w:r>
              <w:t>О</w:t>
            </w:r>
            <w:r w:rsidRPr="003C1902">
              <w:t xml:space="preserve">бъем просроченной кредиторской задолженности </w:t>
            </w:r>
            <w:r w:rsidR="00BC5701">
              <w:t>главного администратора бюджетных средств</w:t>
            </w:r>
            <w:r w:rsidRPr="003C1902">
              <w:t>, включая просроченную кредиторскую задолженность находящихся в его ведении казенных учреждений, по состоянию на 1 января отчетного года</w:t>
            </w:r>
          </w:p>
        </w:tc>
        <w:tc>
          <w:tcPr>
            <w:tcW w:w="1559" w:type="dxa"/>
          </w:tcPr>
          <w:p w:rsidR="005A1B00" w:rsidRPr="006500BB" w:rsidRDefault="005A1B00" w:rsidP="005A1B0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тыс. рублей</w:t>
            </w:r>
          </w:p>
        </w:tc>
        <w:tc>
          <w:tcPr>
            <w:tcW w:w="1562" w:type="dxa"/>
          </w:tcPr>
          <w:p w:rsidR="005A1B00" w:rsidRPr="006500BB" w:rsidRDefault="005A1B00" w:rsidP="005A1B00">
            <w:pPr>
              <w:pStyle w:val="ConsPlusNormal"/>
              <w:rPr>
                <w:szCs w:val="24"/>
              </w:rPr>
            </w:pPr>
          </w:p>
        </w:tc>
      </w:tr>
      <w:tr w:rsidR="005A1B00" w:rsidRPr="006500BB" w:rsidTr="00BC5701">
        <w:tc>
          <w:tcPr>
            <w:tcW w:w="709" w:type="dxa"/>
          </w:tcPr>
          <w:p w:rsidR="005A1B00" w:rsidRPr="006500BB" w:rsidRDefault="005A1B00" w:rsidP="005A1B00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5A1B00" w:rsidRDefault="005A1B00" w:rsidP="005A1B00">
            <w:pPr>
              <w:pStyle w:val="ConsPlusNormal"/>
            </w:pPr>
            <w:r>
              <w:t>О</w:t>
            </w:r>
            <w:r w:rsidRPr="003C1902">
              <w:t xml:space="preserve">бъем просроченной кредиторской задолженности </w:t>
            </w:r>
            <w:r w:rsidR="00BC5701">
              <w:t>главного администратора бюджетных средств</w:t>
            </w:r>
            <w:r w:rsidRPr="003C1902">
              <w:t>, включая просроченную кредиторскую задолженность находящихся в его ведении казенных учреждений, по состоянию на 1 января года, следующего за отчетным</w:t>
            </w:r>
          </w:p>
        </w:tc>
        <w:tc>
          <w:tcPr>
            <w:tcW w:w="1559" w:type="dxa"/>
          </w:tcPr>
          <w:p w:rsidR="005A1B00" w:rsidRPr="006500BB" w:rsidRDefault="005A1B00" w:rsidP="005A1B0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тыс. рублей</w:t>
            </w:r>
          </w:p>
        </w:tc>
        <w:tc>
          <w:tcPr>
            <w:tcW w:w="1562" w:type="dxa"/>
          </w:tcPr>
          <w:p w:rsidR="005A1B00" w:rsidRPr="006500BB" w:rsidRDefault="005A1B00" w:rsidP="005A1B00">
            <w:pPr>
              <w:pStyle w:val="ConsPlusNormal"/>
              <w:rPr>
                <w:szCs w:val="24"/>
              </w:rPr>
            </w:pPr>
          </w:p>
        </w:tc>
      </w:tr>
      <w:tr w:rsidR="00C9618B" w:rsidRPr="006500BB" w:rsidTr="00BC5701">
        <w:tc>
          <w:tcPr>
            <w:tcW w:w="709" w:type="dxa"/>
          </w:tcPr>
          <w:p w:rsidR="00C9618B" w:rsidRPr="006500BB" w:rsidRDefault="00C9618B" w:rsidP="00C9618B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C9618B" w:rsidRPr="00866905" w:rsidRDefault="00C9618B" w:rsidP="00C9618B">
            <w:pPr>
              <w:pStyle w:val="ConsPlusNormal"/>
            </w:pPr>
            <w:r>
              <w:t>О</w:t>
            </w:r>
            <w:r w:rsidRPr="00866905">
              <w:t>бъем просроченной дебиторской задолженности в части расчетов с дебиторами по расходам по состоянию на 1 января отчетного года</w:t>
            </w:r>
          </w:p>
        </w:tc>
        <w:tc>
          <w:tcPr>
            <w:tcW w:w="1559" w:type="dxa"/>
          </w:tcPr>
          <w:p w:rsidR="00C9618B" w:rsidRDefault="00C9618B" w:rsidP="00C9618B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тыс. рублей</w:t>
            </w:r>
          </w:p>
        </w:tc>
        <w:tc>
          <w:tcPr>
            <w:tcW w:w="1562" w:type="dxa"/>
          </w:tcPr>
          <w:p w:rsidR="00C9618B" w:rsidRPr="006500BB" w:rsidRDefault="00C9618B" w:rsidP="00C9618B">
            <w:pPr>
              <w:pStyle w:val="ConsPlusNormal"/>
              <w:rPr>
                <w:szCs w:val="24"/>
              </w:rPr>
            </w:pPr>
          </w:p>
        </w:tc>
      </w:tr>
      <w:tr w:rsidR="00C9618B" w:rsidRPr="006500BB" w:rsidTr="00BC5701">
        <w:tc>
          <w:tcPr>
            <w:tcW w:w="709" w:type="dxa"/>
          </w:tcPr>
          <w:p w:rsidR="00C9618B" w:rsidRPr="006500BB" w:rsidRDefault="00C9618B" w:rsidP="00C9618B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C9618B" w:rsidRDefault="00C9618B" w:rsidP="00C9618B">
            <w:pPr>
              <w:pStyle w:val="ConsPlusNormal"/>
            </w:pPr>
            <w:r>
              <w:t>О</w:t>
            </w:r>
            <w:r w:rsidRPr="00866905">
              <w:t>бъем просроченной дебиторской задолженности в части расчетов с дебиторами по расходам по состоянию на 1 января года, следующего за отчетным</w:t>
            </w:r>
          </w:p>
        </w:tc>
        <w:tc>
          <w:tcPr>
            <w:tcW w:w="1559" w:type="dxa"/>
          </w:tcPr>
          <w:p w:rsidR="00C9618B" w:rsidRDefault="00C9618B" w:rsidP="00C9618B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тыс. рублей</w:t>
            </w:r>
          </w:p>
        </w:tc>
        <w:tc>
          <w:tcPr>
            <w:tcW w:w="1562" w:type="dxa"/>
          </w:tcPr>
          <w:p w:rsidR="00C9618B" w:rsidRPr="006500BB" w:rsidRDefault="00C9618B" w:rsidP="00C9618B">
            <w:pPr>
              <w:pStyle w:val="ConsPlusNormal"/>
              <w:rPr>
                <w:szCs w:val="24"/>
              </w:rPr>
            </w:pPr>
          </w:p>
        </w:tc>
      </w:tr>
      <w:tr w:rsidR="00407588" w:rsidRPr="006500BB" w:rsidTr="00BC5701">
        <w:tc>
          <w:tcPr>
            <w:tcW w:w="709" w:type="dxa"/>
          </w:tcPr>
          <w:p w:rsidR="00407588" w:rsidRPr="006500BB" w:rsidRDefault="00407588" w:rsidP="00407588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407588" w:rsidRPr="0029176C" w:rsidRDefault="00407588" w:rsidP="00407588">
            <w:pPr>
              <w:pStyle w:val="ConsPlusNormal"/>
            </w:pPr>
            <w:r>
              <w:t>О</w:t>
            </w:r>
            <w:r w:rsidRPr="0029176C">
              <w:t xml:space="preserve">бъем просроченной дебиторской задолженности по администрируемым доходам </w:t>
            </w:r>
            <w:r>
              <w:t>ме</w:t>
            </w:r>
            <w:r w:rsidRPr="0029176C">
              <w:t>стного бюджета (без учета безвозмездных поступлений) на начало отчетного года</w:t>
            </w:r>
          </w:p>
        </w:tc>
        <w:tc>
          <w:tcPr>
            <w:tcW w:w="1559" w:type="dxa"/>
          </w:tcPr>
          <w:p w:rsidR="00407588" w:rsidRPr="006500BB" w:rsidRDefault="00407588" w:rsidP="00407588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тыс. рублей</w:t>
            </w:r>
          </w:p>
        </w:tc>
        <w:tc>
          <w:tcPr>
            <w:tcW w:w="1562" w:type="dxa"/>
          </w:tcPr>
          <w:p w:rsidR="00407588" w:rsidRPr="006500BB" w:rsidRDefault="00407588" w:rsidP="00407588">
            <w:pPr>
              <w:pStyle w:val="ConsPlusNormal"/>
              <w:rPr>
                <w:szCs w:val="24"/>
              </w:rPr>
            </w:pPr>
          </w:p>
        </w:tc>
      </w:tr>
      <w:tr w:rsidR="00407588" w:rsidRPr="006500BB" w:rsidTr="00BC5701">
        <w:tc>
          <w:tcPr>
            <w:tcW w:w="709" w:type="dxa"/>
          </w:tcPr>
          <w:p w:rsidR="00407588" w:rsidRPr="006500BB" w:rsidRDefault="00407588" w:rsidP="00407588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407588" w:rsidRDefault="00407588" w:rsidP="00407588">
            <w:r w:rsidRPr="00407588">
              <w:rPr>
                <w:rFonts w:ascii="Times New Roman" w:hAnsi="Times New Roman" w:cs="Times New Roman"/>
                <w:sz w:val="24"/>
              </w:rPr>
              <w:t>Объем просроченной дебиторской задолженности по администрируемым доходам местного бюджета (без учета безвозмездных поступлений) на конец отчетного года</w:t>
            </w:r>
          </w:p>
        </w:tc>
        <w:tc>
          <w:tcPr>
            <w:tcW w:w="1559" w:type="dxa"/>
          </w:tcPr>
          <w:p w:rsidR="00407588" w:rsidRPr="006500BB" w:rsidRDefault="00407588" w:rsidP="00407588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тыс. рублей</w:t>
            </w:r>
          </w:p>
        </w:tc>
        <w:tc>
          <w:tcPr>
            <w:tcW w:w="1562" w:type="dxa"/>
          </w:tcPr>
          <w:p w:rsidR="00407588" w:rsidRPr="006500BB" w:rsidRDefault="00407588" w:rsidP="00407588">
            <w:pPr>
              <w:pStyle w:val="ConsPlusNormal"/>
              <w:rPr>
                <w:szCs w:val="24"/>
              </w:rPr>
            </w:pPr>
          </w:p>
        </w:tc>
      </w:tr>
      <w:tr w:rsidR="00B2357A" w:rsidRPr="006500BB" w:rsidTr="00BC5701">
        <w:tc>
          <w:tcPr>
            <w:tcW w:w="709" w:type="dxa"/>
          </w:tcPr>
          <w:p w:rsidR="00B2357A" w:rsidRPr="006500BB" w:rsidRDefault="00B2357A" w:rsidP="00B2357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B2357A" w:rsidRPr="00E40F6A" w:rsidRDefault="00B2357A" w:rsidP="00B2357A">
            <w:pPr>
              <w:pStyle w:val="ConsPlusNormal"/>
            </w:pPr>
            <w:r>
              <w:t>К</w:t>
            </w:r>
            <w:r w:rsidRPr="00E40F6A">
              <w:t>ассовое исполнение бюджета по налоговым и неналоговым доходам в отчетном финансовом году главного администратора доходов бюджета</w:t>
            </w:r>
          </w:p>
        </w:tc>
        <w:tc>
          <w:tcPr>
            <w:tcW w:w="1559" w:type="dxa"/>
          </w:tcPr>
          <w:p w:rsidR="00B2357A" w:rsidRPr="006500BB" w:rsidRDefault="00F128B6" w:rsidP="00B2357A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тыс. рублей</w:t>
            </w:r>
          </w:p>
        </w:tc>
        <w:tc>
          <w:tcPr>
            <w:tcW w:w="1562" w:type="dxa"/>
          </w:tcPr>
          <w:p w:rsidR="00B2357A" w:rsidRPr="006500BB" w:rsidRDefault="00B2357A" w:rsidP="00B2357A">
            <w:pPr>
              <w:pStyle w:val="ConsPlusNormal"/>
              <w:rPr>
                <w:szCs w:val="24"/>
              </w:rPr>
            </w:pPr>
          </w:p>
        </w:tc>
      </w:tr>
      <w:tr w:rsidR="00B2357A" w:rsidRPr="006500BB" w:rsidTr="00BC5701">
        <w:tc>
          <w:tcPr>
            <w:tcW w:w="709" w:type="dxa"/>
          </w:tcPr>
          <w:p w:rsidR="00B2357A" w:rsidRPr="006500BB" w:rsidRDefault="00B2357A" w:rsidP="00B2357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B2357A" w:rsidRDefault="00B2357A" w:rsidP="00B2357A">
            <w:pPr>
              <w:pStyle w:val="ConsPlusNormal"/>
            </w:pPr>
            <w:r>
              <w:t>П</w:t>
            </w:r>
            <w:r w:rsidRPr="00E40F6A">
              <w:t>рогноз объема налоговых и неналоговых доходов, администрируемых главным администратором доходов бюджета, утвержденного решением о бюджете на очередной финансовый год и плановый период в году, предшествующем отчетному году (без учета изменений и дополнений, внесенных в течение отчетного года)</w:t>
            </w:r>
          </w:p>
        </w:tc>
        <w:tc>
          <w:tcPr>
            <w:tcW w:w="1559" w:type="dxa"/>
          </w:tcPr>
          <w:p w:rsidR="00B2357A" w:rsidRPr="006500BB" w:rsidRDefault="00F128B6" w:rsidP="00B2357A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тыс. рублей</w:t>
            </w:r>
          </w:p>
        </w:tc>
        <w:tc>
          <w:tcPr>
            <w:tcW w:w="1562" w:type="dxa"/>
          </w:tcPr>
          <w:p w:rsidR="00B2357A" w:rsidRPr="006500BB" w:rsidRDefault="00B2357A" w:rsidP="00B2357A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Количество муниципальных учреждений, до которых доведены муниципальные задания в отчетном финансовом году</w:t>
            </w:r>
          </w:p>
        </w:tc>
        <w:tc>
          <w:tcPr>
            <w:tcW w:w="1559" w:type="dxa"/>
          </w:tcPr>
          <w:p w:rsidR="003331E4" w:rsidRPr="006500BB" w:rsidRDefault="004B6AAA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Е</w:t>
            </w:r>
            <w:r w:rsidR="003331E4" w:rsidRPr="006500BB">
              <w:rPr>
                <w:szCs w:val="24"/>
              </w:rPr>
              <w:t>диниц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Количество муниципальных</w:t>
            </w:r>
            <w:r w:rsidR="006500BB" w:rsidRPr="006500BB">
              <w:rPr>
                <w:szCs w:val="24"/>
              </w:rPr>
              <w:t xml:space="preserve"> </w:t>
            </w:r>
            <w:r w:rsidRPr="006500BB">
              <w:rPr>
                <w:szCs w:val="24"/>
              </w:rPr>
              <w:t>учреждений, выполнивших муниципальное задание на 100% по итогам отчетного финансового года</w:t>
            </w:r>
          </w:p>
        </w:tc>
        <w:tc>
          <w:tcPr>
            <w:tcW w:w="1559" w:type="dxa"/>
          </w:tcPr>
          <w:p w:rsidR="003331E4" w:rsidRPr="006500BB" w:rsidRDefault="004B6AAA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Е</w:t>
            </w:r>
            <w:r w:rsidR="003331E4" w:rsidRPr="006500BB">
              <w:rPr>
                <w:szCs w:val="24"/>
              </w:rPr>
              <w:t>диниц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4B6AAA" w:rsidRDefault="003331E4" w:rsidP="004B6AAA">
            <w:pPr>
              <w:pStyle w:val="a3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41312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0BB">
              <w:rPr>
                <w:rFonts w:ascii="Times New Roman" w:hAnsi="Times New Roman" w:cs="Times New Roman"/>
                <w:sz w:val="24"/>
                <w:szCs w:val="24"/>
              </w:rPr>
              <w:t>Кассовые расходы за отчетный период по субсидиям на выполнение муниципального задания и на иные цели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0B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4B6AA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4B6AAA" w:rsidRDefault="003331E4" w:rsidP="004B6AAA">
            <w:pPr>
              <w:pStyle w:val="a3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41312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0BB">
              <w:rPr>
                <w:rFonts w:ascii="Times New Roman" w:hAnsi="Times New Roman" w:cs="Times New Roman"/>
                <w:sz w:val="24"/>
                <w:szCs w:val="24"/>
              </w:rPr>
              <w:t>Объем средств, полученных в виде субсидии на выполнение муниципального задания и на иные цели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00B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4B6AA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Объем субсидии на финансовое обеспечение выполнения муниципального задания, возвращенной в установленный срок по итогам отчетного финансового года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тыс. руб</w:t>
            </w:r>
            <w:r w:rsidR="004B6AAA">
              <w:rPr>
                <w:szCs w:val="24"/>
              </w:rPr>
              <w:t>лей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Объем субсидии на финансовое обеспечение выполнения муниципального задания, подлежащей возврату в установленных случаях по итогам отчетного финансового года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тыс. руб</w:t>
            </w:r>
            <w:r w:rsidR="004B6AAA">
              <w:rPr>
                <w:szCs w:val="24"/>
              </w:rPr>
              <w:t>лей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6E19A8" w:rsidRPr="006500BB" w:rsidTr="00BC5701">
        <w:tc>
          <w:tcPr>
            <w:tcW w:w="709" w:type="dxa"/>
          </w:tcPr>
          <w:p w:rsidR="006E19A8" w:rsidRPr="006500BB" w:rsidRDefault="006E19A8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6E19A8" w:rsidRPr="006500BB" w:rsidRDefault="006E19A8" w:rsidP="00413121">
            <w:pPr>
              <w:pStyle w:val="ConsPlusNormal"/>
              <w:rPr>
                <w:szCs w:val="24"/>
              </w:rPr>
            </w:pPr>
            <w:r>
              <w:t>Размещение в полном объеме на официальном сайте для размещения информации о государственных (муниципальных) учреждениях (</w:t>
            </w:r>
            <w:hyperlink r:id="rId7">
              <w:r>
                <w:rPr>
                  <w:color w:val="0000FF"/>
                </w:rPr>
                <w:t>www.bus.gov.ru</w:t>
              </w:r>
            </w:hyperlink>
            <w:r>
              <w:t>) в информационно-телекоммуникационной сети "Интернет" информации в соответствии с требованиями к порядку формирования структурированной информации о государственном (муниципальном) учреждении, устанавливаемыми Федеральным казначейством, на момент проведения мониторинга качества финансового менеджмента</w:t>
            </w:r>
          </w:p>
        </w:tc>
        <w:tc>
          <w:tcPr>
            <w:tcW w:w="1559" w:type="dxa"/>
          </w:tcPr>
          <w:p w:rsidR="006E19A8" w:rsidRPr="006500BB" w:rsidRDefault="006E19A8" w:rsidP="004131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да/нет</w:t>
            </w:r>
          </w:p>
        </w:tc>
        <w:tc>
          <w:tcPr>
            <w:tcW w:w="1562" w:type="dxa"/>
          </w:tcPr>
          <w:p w:rsidR="006E19A8" w:rsidRPr="006500BB" w:rsidRDefault="006E19A8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EF5ACD" w:rsidRDefault="003331E4" w:rsidP="00413121">
            <w:pPr>
              <w:pStyle w:val="ConsPlusNormal"/>
              <w:rPr>
                <w:szCs w:val="24"/>
                <w:vertAlign w:val="superscript"/>
              </w:rPr>
            </w:pPr>
            <w:r w:rsidRPr="006500BB">
              <w:rPr>
                <w:szCs w:val="24"/>
              </w:rPr>
              <w:t>Число руководителей муниципальных учреждений, с которыми заключены контракты, предусматривающие оценку их деятельности</w:t>
            </w:r>
            <w:r w:rsidR="00EF5ACD">
              <w:rPr>
                <w:szCs w:val="24"/>
              </w:rPr>
              <w:t>, на момент проведения мониторинга качества финансового менеджмента</w:t>
            </w:r>
            <w:r w:rsidR="00EF5ACD">
              <w:rPr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единиц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Общее число руководителей муниципальных учреждений в отчетном финансовом году</w:t>
            </w:r>
          </w:p>
        </w:tc>
        <w:tc>
          <w:tcPr>
            <w:tcW w:w="1559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единиц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6500BB" w:rsidRPr="006500BB" w:rsidTr="00BC5701">
        <w:tc>
          <w:tcPr>
            <w:tcW w:w="709" w:type="dxa"/>
          </w:tcPr>
          <w:p w:rsidR="006500BB" w:rsidRPr="006500BB" w:rsidRDefault="006500BB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6500BB" w:rsidRPr="006500BB" w:rsidRDefault="006500BB" w:rsidP="00413121">
            <w:pPr>
              <w:pStyle w:val="ConsPlusNormal"/>
              <w:rPr>
                <w:szCs w:val="24"/>
              </w:rPr>
            </w:pPr>
            <w:r>
              <w:t>Среднемесячная заработная плата руководителей, заместителей руководителей и главных бухгалтеров подведомственных муниципальных учреждений, формируемая за счет всех источников финансового обеспечения, за отчетный год (определяется в соответствии с положением об особенностях порядка исчисления средней заработной платы, утвержденным Правительством Российской Федерации)</w:t>
            </w:r>
          </w:p>
        </w:tc>
        <w:tc>
          <w:tcPr>
            <w:tcW w:w="1559" w:type="dxa"/>
          </w:tcPr>
          <w:p w:rsidR="006500BB" w:rsidRPr="006500BB" w:rsidRDefault="006500BB" w:rsidP="004131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рублей</w:t>
            </w:r>
          </w:p>
        </w:tc>
        <w:tc>
          <w:tcPr>
            <w:tcW w:w="1562" w:type="dxa"/>
          </w:tcPr>
          <w:p w:rsidR="006500BB" w:rsidRPr="006500BB" w:rsidRDefault="006500BB" w:rsidP="00413121">
            <w:pPr>
              <w:pStyle w:val="ConsPlusNormal"/>
              <w:rPr>
                <w:szCs w:val="24"/>
              </w:rPr>
            </w:pPr>
          </w:p>
        </w:tc>
      </w:tr>
      <w:tr w:rsidR="006500BB" w:rsidRPr="006500BB" w:rsidTr="00BC5701">
        <w:tc>
          <w:tcPr>
            <w:tcW w:w="709" w:type="dxa"/>
          </w:tcPr>
          <w:p w:rsidR="006500BB" w:rsidRPr="006500BB" w:rsidRDefault="006500BB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6500BB" w:rsidRDefault="006500BB" w:rsidP="00413121">
            <w:pPr>
              <w:pStyle w:val="ConsPlusNormal"/>
            </w:pPr>
            <w:r>
              <w:t>Среднемесячная заработная плата работников подведомственных муниципальных учреждений (без учета заработной платы руководителя, заместителей руководителя, главного бухгалтера), формируемая за счет всех источников финансового обеспечения, за отчетный год (определяется в соответствии с положением об особенностях порядка исчисления средней заработной платы, утвержденным Правительством Российской Федерации)</w:t>
            </w:r>
          </w:p>
        </w:tc>
        <w:tc>
          <w:tcPr>
            <w:tcW w:w="1559" w:type="dxa"/>
          </w:tcPr>
          <w:p w:rsidR="006500BB" w:rsidRDefault="006500BB" w:rsidP="004131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рублей</w:t>
            </w:r>
          </w:p>
        </w:tc>
        <w:tc>
          <w:tcPr>
            <w:tcW w:w="1562" w:type="dxa"/>
          </w:tcPr>
          <w:p w:rsidR="006500BB" w:rsidRPr="006500BB" w:rsidRDefault="006500BB" w:rsidP="00413121">
            <w:pPr>
              <w:pStyle w:val="ConsPlusNormal"/>
              <w:rPr>
                <w:szCs w:val="24"/>
              </w:rPr>
            </w:pPr>
          </w:p>
        </w:tc>
      </w:tr>
      <w:tr w:rsidR="006500BB" w:rsidRPr="006500BB" w:rsidTr="00BC5701">
        <w:tc>
          <w:tcPr>
            <w:tcW w:w="709" w:type="dxa"/>
          </w:tcPr>
          <w:p w:rsidR="006500BB" w:rsidRPr="006500BB" w:rsidRDefault="006500BB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6500BB" w:rsidRDefault="006500BB" w:rsidP="00413121">
            <w:pPr>
              <w:pStyle w:val="ConsPlusNormal"/>
            </w:pPr>
            <w:r>
              <w:t xml:space="preserve">Количество проведенных в отчетном году контрольных мероприятий органами муниципального </w:t>
            </w:r>
            <w:r>
              <w:lastRenderedPageBreak/>
              <w:t xml:space="preserve">финансового контроля у главного администратора бюджетных средств, в муниципальных учреждениях </w:t>
            </w:r>
          </w:p>
        </w:tc>
        <w:tc>
          <w:tcPr>
            <w:tcW w:w="1559" w:type="dxa"/>
          </w:tcPr>
          <w:p w:rsidR="006500BB" w:rsidRDefault="006500BB" w:rsidP="00413121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lastRenderedPageBreak/>
              <w:t>единиц</w:t>
            </w:r>
          </w:p>
        </w:tc>
        <w:tc>
          <w:tcPr>
            <w:tcW w:w="1562" w:type="dxa"/>
          </w:tcPr>
          <w:p w:rsidR="006500BB" w:rsidRPr="006500BB" w:rsidRDefault="006500BB" w:rsidP="00413121">
            <w:pPr>
              <w:pStyle w:val="ConsPlusNormal"/>
              <w:rPr>
                <w:szCs w:val="24"/>
              </w:rPr>
            </w:pPr>
          </w:p>
        </w:tc>
      </w:tr>
      <w:tr w:rsidR="007B3F6D" w:rsidRPr="006500BB" w:rsidTr="00BC5701">
        <w:tc>
          <w:tcPr>
            <w:tcW w:w="709" w:type="dxa"/>
          </w:tcPr>
          <w:p w:rsidR="007B3F6D" w:rsidRPr="006500BB" w:rsidRDefault="007B3F6D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7B3F6D" w:rsidRDefault="007B3F6D" w:rsidP="007B3F6D">
            <w:pPr>
              <w:pStyle w:val="ConsPlusNormal"/>
            </w:pPr>
            <w:r>
              <w:t xml:space="preserve">Наличие нарушений, выявленных у главного администратора бюджетных средств в ходе </w:t>
            </w:r>
            <w:r w:rsidR="005510D6">
              <w:t xml:space="preserve">контрольных </w:t>
            </w:r>
            <w:r>
              <w:t>мероприятий о</w:t>
            </w:r>
            <w:r w:rsidR="005510D6">
              <w:t>рганами</w:t>
            </w:r>
            <w:r>
              <w:t xml:space="preserve"> муниципально</w:t>
            </w:r>
            <w:r w:rsidR="005510D6">
              <w:t>го</w:t>
            </w:r>
            <w:r>
              <w:t xml:space="preserve"> финансово</w:t>
            </w:r>
            <w:r w:rsidR="005510D6">
              <w:t>го</w:t>
            </w:r>
            <w:r>
              <w:t xml:space="preserve"> контрол</w:t>
            </w:r>
            <w:r w:rsidR="005510D6">
              <w:t>я</w:t>
            </w:r>
            <w:r>
              <w:t>, по состоянию на 1 января года, следующего за отчетным</w:t>
            </w:r>
          </w:p>
        </w:tc>
        <w:tc>
          <w:tcPr>
            <w:tcW w:w="1559" w:type="dxa"/>
          </w:tcPr>
          <w:p w:rsidR="007B3F6D" w:rsidRDefault="007B3F6D" w:rsidP="007B3F6D">
            <w:pPr>
              <w:pStyle w:val="ConsPlusNormal"/>
            </w:pPr>
            <w:r>
              <w:t>да/нет</w:t>
            </w:r>
          </w:p>
        </w:tc>
        <w:tc>
          <w:tcPr>
            <w:tcW w:w="1562" w:type="dxa"/>
          </w:tcPr>
          <w:p w:rsidR="007B3F6D" w:rsidRPr="006500BB" w:rsidRDefault="007B3F6D" w:rsidP="007B3F6D">
            <w:pPr>
              <w:pStyle w:val="ConsPlusNormal"/>
              <w:rPr>
                <w:szCs w:val="24"/>
              </w:rPr>
            </w:pPr>
          </w:p>
        </w:tc>
      </w:tr>
      <w:tr w:rsidR="007B3F6D" w:rsidTr="00BC5701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7B3F6D" w:rsidRDefault="007B3F6D" w:rsidP="004B6AAA">
            <w:pPr>
              <w:pStyle w:val="ConsPlusNormal"/>
              <w:numPr>
                <w:ilvl w:val="0"/>
                <w:numId w:val="2"/>
              </w:numPr>
            </w:pPr>
          </w:p>
        </w:tc>
        <w:tc>
          <w:tcPr>
            <w:tcW w:w="5812" w:type="dxa"/>
          </w:tcPr>
          <w:p w:rsidR="007B3F6D" w:rsidRDefault="007B3F6D" w:rsidP="00382284">
            <w:pPr>
              <w:pStyle w:val="ConsPlusNormal"/>
            </w:pPr>
            <w:r>
              <w:t xml:space="preserve">Наличие нарушений, выявленных </w:t>
            </w:r>
            <w:r w:rsidR="006E19A8">
              <w:t>у</w:t>
            </w:r>
            <w:r>
              <w:t xml:space="preserve"> муниципальных учреждени</w:t>
            </w:r>
            <w:r w:rsidR="006E19A8">
              <w:t>й</w:t>
            </w:r>
            <w:r>
              <w:t xml:space="preserve">, в ходе </w:t>
            </w:r>
            <w:r w:rsidR="006E19A8">
              <w:t xml:space="preserve">контрольных </w:t>
            </w:r>
            <w:r>
              <w:t>мероприятий о</w:t>
            </w:r>
            <w:r w:rsidR="005510D6">
              <w:t>рганами</w:t>
            </w:r>
            <w:r>
              <w:t xml:space="preserve"> муниципально</w:t>
            </w:r>
            <w:r w:rsidR="005510D6">
              <w:t>го</w:t>
            </w:r>
            <w:r>
              <w:t xml:space="preserve"> финансово</w:t>
            </w:r>
            <w:r w:rsidR="005510D6">
              <w:t>го</w:t>
            </w:r>
            <w:r>
              <w:t xml:space="preserve"> контрол</w:t>
            </w:r>
            <w:r w:rsidR="005510D6">
              <w:t>я</w:t>
            </w:r>
            <w:r>
              <w:t>, по состоянию на 1 января года, следующего за отчетным</w:t>
            </w:r>
          </w:p>
        </w:tc>
        <w:tc>
          <w:tcPr>
            <w:tcW w:w="1559" w:type="dxa"/>
          </w:tcPr>
          <w:p w:rsidR="007B3F6D" w:rsidRDefault="007B3F6D" w:rsidP="00382284">
            <w:pPr>
              <w:pStyle w:val="ConsPlusNormal"/>
            </w:pPr>
            <w:r>
              <w:t>да/нет</w:t>
            </w:r>
          </w:p>
        </w:tc>
        <w:tc>
          <w:tcPr>
            <w:tcW w:w="1562" w:type="dxa"/>
          </w:tcPr>
          <w:p w:rsidR="007B3F6D" w:rsidRDefault="007B3F6D" w:rsidP="00382284">
            <w:pPr>
              <w:pStyle w:val="ConsPlusNormal"/>
            </w:pPr>
          </w:p>
        </w:tc>
      </w:tr>
      <w:tr w:rsidR="007B3F6D" w:rsidTr="00BC5701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7B3F6D" w:rsidRDefault="007B3F6D" w:rsidP="004B6AAA">
            <w:pPr>
              <w:pStyle w:val="ConsPlusNormal"/>
              <w:numPr>
                <w:ilvl w:val="0"/>
                <w:numId w:val="2"/>
              </w:numPr>
            </w:pPr>
          </w:p>
        </w:tc>
        <w:tc>
          <w:tcPr>
            <w:tcW w:w="5812" w:type="dxa"/>
          </w:tcPr>
          <w:p w:rsidR="007B3F6D" w:rsidRDefault="007B3F6D" w:rsidP="00382284">
            <w:pPr>
              <w:pStyle w:val="ConsPlusNormal"/>
            </w:pPr>
            <w:r>
              <w:t>Количество нарушений, выявленных в ходе мероприятий по внутреннему муниципальному финансовому контролю, по состоянию на 1 января отчетного года</w:t>
            </w:r>
          </w:p>
        </w:tc>
        <w:tc>
          <w:tcPr>
            <w:tcW w:w="1559" w:type="dxa"/>
          </w:tcPr>
          <w:p w:rsidR="007B3F6D" w:rsidRDefault="007B3F6D" w:rsidP="00382284">
            <w:pPr>
              <w:pStyle w:val="ConsPlusNormal"/>
            </w:pPr>
            <w:r>
              <w:t>единиц</w:t>
            </w:r>
          </w:p>
        </w:tc>
        <w:tc>
          <w:tcPr>
            <w:tcW w:w="1562" w:type="dxa"/>
          </w:tcPr>
          <w:p w:rsidR="007B3F6D" w:rsidRDefault="007B3F6D" w:rsidP="00382284">
            <w:pPr>
              <w:pStyle w:val="ConsPlusNormal"/>
            </w:pPr>
          </w:p>
        </w:tc>
      </w:tr>
      <w:tr w:rsidR="007B3F6D" w:rsidTr="00BC5701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7B3F6D" w:rsidRDefault="007B3F6D" w:rsidP="004B6AAA">
            <w:pPr>
              <w:pStyle w:val="ConsPlusNormal"/>
              <w:numPr>
                <w:ilvl w:val="0"/>
                <w:numId w:val="2"/>
              </w:numPr>
            </w:pPr>
          </w:p>
        </w:tc>
        <w:tc>
          <w:tcPr>
            <w:tcW w:w="5812" w:type="dxa"/>
          </w:tcPr>
          <w:p w:rsidR="007B3F6D" w:rsidRDefault="007B3F6D" w:rsidP="00382284">
            <w:pPr>
              <w:pStyle w:val="ConsPlusNormal"/>
            </w:pPr>
            <w:r>
              <w:t>Количество нарушений, выявленных в ходе мероприятий по внутреннему муниципальному финансовому контролю, по состоянию на 1 января года, следующего за отчетным</w:t>
            </w:r>
          </w:p>
        </w:tc>
        <w:tc>
          <w:tcPr>
            <w:tcW w:w="1559" w:type="dxa"/>
          </w:tcPr>
          <w:p w:rsidR="007B3F6D" w:rsidRDefault="007B3F6D" w:rsidP="00382284">
            <w:pPr>
              <w:pStyle w:val="ConsPlusNormal"/>
            </w:pPr>
            <w:r>
              <w:t>единиц</w:t>
            </w:r>
          </w:p>
        </w:tc>
        <w:tc>
          <w:tcPr>
            <w:tcW w:w="1562" w:type="dxa"/>
          </w:tcPr>
          <w:p w:rsidR="007B3F6D" w:rsidRDefault="007B3F6D" w:rsidP="00382284">
            <w:pPr>
              <w:pStyle w:val="ConsPlusNormal"/>
            </w:pPr>
          </w:p>
        </w:tc>
      </w:tr>
      <w:tr w:rsidR="007B3F6D" w:rsidTr="00BC5701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7B3F6D" w:rsidRDefault="007B3F6D" w:rsidP="004B6AAA">
            <w:pPr>
              <w:pStyle w:val="ConsPlusNormal"/>
              <w:numPr>
                <w:ilvl w:val="0"/>
                <w:numId w:val="2"/>
              </w:numPr>
            </w:pPr>
          </w:p>
        </w:tc>
        <w:tc>
          <w:tcPr>
            <w:tcW w:w="5812" w:type="dxa"/>
          </w:tcPr>
          <w:p w:rsidR="007B3F6D" w:rsidRDefault="007B3F6D" w:rsidP="00382284">
            <w:pPr>
              <w:pStyle w:val="ConsPlusNormal"/>
            </w:pPr>
            <w:r>
              <w:t>Количество нарушений, выявленных в ходе мероприятий по внешнему муниципальному финансовому контролю, по состоянию на 1 января отчетного года</w:t>
            </w:r>
          </w:p>
        </w:tc>
        <w:tc>
          <w:tcPr>
            <w:tcW w:w="1559" w:type="dxa"/>
          </w:tcPr>
          <w:p w:rsidR="007B3F6D" w:rsidRDefault="007B3F6D" w:rsidP="00382284">
            <w:pPr>
              <w:pStyle w:val="ConsPlusNormal"/>
            </w:pPr>
            <w:r>
              <w:t>единиц</w:t>
            </w:r>
          </w:p>
        </w:tc>
        <w:tc>
          <w:tcPr>
            <w:tcW w:w="1562" w:type="dxa"/>
          </w:tcPr>
          <w:p w:rsidR="007B3F6D" w:rsidRDefault="007B3F6D" w:rsidP="00382284">
            <w:pPr>
              <w:pStyle w:val="ConsPlusNormal"/>
            </w:pPr>
          </w:p>
        </w:tc>
      </w:tr>
      <w:tr w:rsidR="007B3F6D" w:rsidTr="00BC5701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7B3F6D" w:rsidRDefault="007B3F6D" w:rsidP="004B6AAA">
            <w:pPr>
              <w:pStyle w:val="ConsPlusNormal"/>
              <w:numPr>
                <w:ilvl w:val="0"/>
                <w:numId w:val="2"/>
              </w:numPr>
            </w:pPr>
          </w:p>
        </w:tc>
        <w:tc>
          <w:tcPr>
            <w:tcW w:w="5812" w:type="dxa"/>
          </w:tcPr>
          <w:p w:rsidR="007B3F6D" w:rsidRDefault="007B3F6D" w:rsidP="00382284">
            <w:pPr>
              <w:pStyle w:val="ConsPlusNormal"/>
            </w:pPr>
            <w:r>
              <w:t>Количество нарушений, выявленных в ходе мероприятий по внешнему муниципальному финансовому контролю, по состоянию на 1 января года, следующего за отчетным</w:t>
            </w:r>
          </w:p>
        </w:tc>
        <w:tc>
          <w:tcPr>
            <w:tcW w:w="1559" w:type="dxa"/>
          </w:tcPr>
          <w:p w:rsidR="007B3F6D" w:rsidRDefault="007B3F6D" w:rsidP="00382284">
            <w:pPr>
              <w:pStyle w:val="ConsPlusNormal"/>
            </w:pPr>
            <w:r>
              <w:t>единиц</w:t>
            </w:r>
          </w:p>
        </w:tc>
        <w:tc>
          <w:tcPr>
            <w:tcW w:w="1562" w:type="dxa"/>
          </w:tcPr>
          <w:p w:rsidR="007B3F6D" w:rsidRDefault="007B3F6D" w:rsidP="00382284">
            <w:pPr>
              <w:pStyle w:val="ConsPlusNormal"/>
            </w:pPr>
          </w:p>
        </w:tc>
      </w:tr>
      <w:tr w:rsidR="003331E4" w:rsidRPr="006500BB" w:rsidTr="00BC5701">
        <w:tc>
          <w:tcPr>
            <w:tcW w:w="709" w:type="dxa"/>
          </w:tcPr>
          <w:p w:rsidR="003331E4" w:rsidRPr="006500BB" w:rsidRDefault="003331E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3331E4" w:rsidRPr="008C4941" w:rsidRDefault="008C4941" w:rsidP="00413121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4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п</w:t>
            </w:r>
            <w:r w:rsidR="003331E4" w:rsidRPr="008C4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равово</w:t>
            </w:r>
            <w:r w:rsidRPr="008C4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r w:rsidR="003331E4" w:rsidRPr="008C4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акт</w:t>
            </w:r>
            <w:r w:rsidRPr="008C4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3331E4" w:rsidRPr="008C4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C4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главного администратора бюджетных средств, обеспечивающего осуществление внутреннего финансового аудита с соблюдением федеральных стандартов внутреннего финансового аудита</w:t>
            </w:r>
            <w:r w:rsidRPr="008C4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59" w:type="dxa"/>
          </w:tcPr>
          <w:p w:rsidR="003331E4" w:rsidRPr="006500BB" w:rsidRDefault="008C4941" w:rsidP="0041312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331E4" w:rsidRPr="006500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</w:p>
        </w:tc>
        <w:tc>
          <w:tcPr>
            <w:tcW w:w="1562" w:type="dxa"/>
          </w:tcPr>
          <w:p w:rsidR="003331E4" w:rsidRPr="006500BB" w:rsidRDefault="003331E4" w:rsidP="00413121">
            <w:pPr>
              <w:pStyle w:val="ConsPlusNormal"/>
              <w:rPr>
                <w:szCs w:val="24"/>
              </w:rPr>
            </w:pPr>
          </w:p>
        </w:tc>
      </w:tr>
      <w:tr w:rsidR="000A6984" w:rsidRPr="006500BB" w:rsidTr="00BC5701">
        <w:tc>
          <w:tcPr>
            <w:tcW w:w="709" w:type="dxa"/>
          </w:tcPr>
          <w:p w:rsidR="000A6984" w:rsidRPr="006500BB" w:rsidRDefault="000A6984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0A6984" w:rsidRDefault="000A6984" w:rsidP="000A6984">
            <w:pPr>
              <w:pStyle w:val="ConsPlusNormal"/>
            </w:pPr>
            <w:r>
              <w:t xml:space="preserve">Наличие расхождений с данными бюджетного учета, выявленных при проведении инвентаризации, определяемых в соответствии с таблицей "Сведения о проведении инвентаризации", заполненной по форме, установленной </w:t>
            </w:r>
            <w:hyperlink r:id="rId8" w:tooltip="Приказ Минфина России от 28.12.2010 N 191н (ред. от 30.09.2024) &quot;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&quot; (Зарегистрировано в Минюс">
              <w:r>
                <w:rPr>
                  <w:color w:val="0000FF"/>
                </w:rPr>
                <w:t>Инструкцией</w:t>
              </w:r>
            </w:hyperlink>
            <w:r>
      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</w:t>
            </w:r>
            <w:r>
              <w:lastRenderedPageBreak/>
              <w:t>Российской Федерации", по итогам отчетного года</w:t>
            </w:r>
          </w:p>
        </w:tc>
        <w:tc>
          <w:tcPr>
            <w:tcW w:w="1559" w:type="dxa"/>
          </w:tcPr>
          <w:p w:rsidR="000A6984" w:rsidRPr="006500BB" w:rsidRDefault="000A6984" w:rsidP="000A6984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lastRenderedPageBreak/>
              <w:t>да/нет</w:t>
            </w:r>
          </w:p>
        </w:tc>
        <w:tc>
          <w:tcPr>
            <w:tcW w:w="1562" w:type="dxa"/>
          </w:tcPr>
          <w:p w:rsidR="000A6984" w:rsidRPr="006500BB" w:rsidRDefault="000A6984" w:rsidP="000A6984">
            <w:pPr>
              <w:pStyle w:val="ConsPlusNormal"/>
              <w:rPr>
                <w:szCs w:val="24"/>
              </w:rPr>
            </w:pPr>
          </w:p>
        </w:tc>
      </w:tr>
      <w:tr w:rsidR="004B6AAA" w:rsidRPr="006500BB" w:rsidTr="00BC5701">
        <w:tc>
          <w:tcPr>
            <w:tcW w:w="709" w:type="dxa"/>
          </w:tcPr>
          <w:p w:rsidR="004B6AAA" w:rsidRPr="006500BB" w:rsidRDefault="004B6AAA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4B6AAA" w:rsidRDefault="004B6AAA" w:rsidP="004B6AAA">
            <w:pPr>
              <w:pStyle w:val="ConsPlusNormal"/>
            </w:pPr>
            <w:r>
              <w:t xml:space="preserve">Наличие проведенных мероприятий ведомственного контроля в сфере закупок в соответствии с </w:t>
            </w:r>
            <w:hyperlink r:id="rId9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N 44-ФЗ в отчетном году</w:t>
            </w:r>
          </w:p>
        </w:tc>
        <w:tc>
          <w:tcPr>
            <w:tcW w:w="1559" w:type="dxa"/>
          </w:tcPr>
          <w:p w:rsidR="004B6AAA" w:rsidRPr="006500BB" w:rsidRDefault="004B6AAA" w:rsidP="004B6AAA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да/нет</w:t>
            </w:r>
          </w:p>
        </w:tc>
        <w:tc>
          <w:tcPr>
            <w:tcW w:w="1562" w:type="dxa"/>
          </w:tcPr>
          <w:p w:rsidR="004B6AAA" w:rsidRPr="006500BB" w:rsidRDefault="004B6AAA" w:rsidP="004B6AAA">
            <w:pPr>
              <w:pStyle w:val="ConsPlusNormal"/>
              <w:rPr>
                <w:szCs w:val="24"/>
              </w:rPr>
            </w:pPr>
          </w:p>
        </w:tc>
      </w:tr>
      <w:tr w:rsidR="004B6AAA" w:rsidRPr="006500BB" w:rsidTr="00BC5701">
        <w:tc>
          <w:tcPr>
            <w:tcW w:w="709" w:type="dxa"/>
          </w:tcPr>
          <w:p w:rsidR="004B6AAA" w:rsidRPr="006500BB" w:rsidRDefault="004B6AAA" w:rsidP="004B6AA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4B6AAA" w:rsidRDefault="004B6AAA" w:rsidP="004B6AAA">
            <w:pPr>
              <w:pStyle w:val="ConsPlusNormal"/>
            </w:pPr>
            <w:r>
              <w:t xml:space="preserve">Наличие нарушений, выявленных главным администратором бюджетных средств, при осуществлении ведомственного контроля в сфере закупок в соответствии с </w:t>
            </w:r>
            <w:hyperlink r:id="rId10" w:tooltip="Федеральный закон от 05.04.2013 N 44-ФЗ (ред. от 26.12.2024) &quot;О контрактной системе в сфере закупок товаров, работ, услуг для обеспечения государственных и муниципальных нужд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N 44-ФЗ в отчетном году</w:t>
            </w:r>
          </w:p>
        </w:tc>
        <w:tc>
          <w:tcPr>
            <w:tcW w:w="1559" w:type="dxa"/>
          </w:tcPr>
          <w:p w:rsidR="004B6AAA" w:rsidRPr="006500BB" w:rsidRDefault="004B6AAA" w:rsidP="004B6AAA">
            <w:pPr>
              <w:pStyle w:val="ConsPlusNormal"/>
              <w:rPr>
                <w:szCs w:val="24"/>
              </w:rPr>
            </w:pPr>
            <w:r w:rsidRPr="006500BB">
              <w:rPr>
                <w:szCs w:val="24"/>
              </w:rPr>
              <w:t>да/нет</w:t>
            </w:r>
          </w:p>
        </w:tc>
        <w:tc>
          <w:tcPr>
            <w:tcW w:w="1562" w:type="dxa"/>
          </w:tcPr>
          <w:p w:rsidR="004B6AAA" w:rsidRPr="006500BB" w:rsidRDefault="004B6AAA" w:rsidP="004B6AAA">
            <w:pPr>
              <w:pStyle w:val="ConsPlusNormal"/>
              <w:rPr>
                <w:szCs w:val="24"/>
              </w:rPr>
            </w:pPr>
          </w:p>
        </w:tc>
      </w:tr>
      <w:tr w:rsidR="006E254A" w:rsidRPr="006500BB" w:rsidTr="00BC5701">
        <w:tc>
          <w:tcPr>
            <w:tcW w:w="709" w:type="dxa"/>
          </w:tcPr>
          <w:p w:rsidR="006E254A" w:rsidRPr="006500BB" w:rsidRDefault="006E254A" w:rsidP="006E254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6E254A" w:rsidRDefault="006E254A" w:rsidP="006E254A">
            <w:pPr>
              <w:pStyle w:val="ConsPlusNormal"/>
            </w:pPr>
            <w:r>
              <w:t xml:space="preserve">Наличие фактов недостач материальных ценностей и денежных средств </w:t>
            </w:r>
            <w:r w:rsidR="00BC5701">
              <w:t>у</w:t>
            </w:r>
            <w:r>
              <w:t xml:space="preserve"> </w:t>
            </w:r>
            <w:r w:rsidR="00BC5701">
              <w:t>главных администраторов бюджетных средств</w:t>
            </w:r>
            <w:r>
              <w:t xml:space="preserve"> и подведомственных ему учреждениях, установленных в отчетном финансовом году, определяемое в соответствии с таблицей "Сведения по ущербу имуществу, хищениях денежных средств и материальных ценностей", заполненной по </w:t>
            </w:r>
            <w:hyperlink r:id="rId11" w:history="1">
              <w:r>
                <w:rPr>
                  <w:color w:val="0000FF"/>
                </w:rPr>
                <w:t>форме</w:t>
              </w:r>
            </w:hyperlink>
            <w:r>
              <w:t>, установленной Инструкцией</w:t>
            </w:r>
          </w:p>
        </w:tc>
        <w:tc>
          <w:tcPr>
            <w:tcW w:w="1559" w:type="dxa"/>
          </w:tcPr>
          <w:p w:rsidR="006E254A" w:rsidRDefault="006E254A" w:rsidP="006E254A">
            <w:pPr>
              <w:pStyle w:val="ConsPlusNormal"/>
            </w:pPr>
            <w:r>
              <w:t>да/нет</w:t>
            </w:r>
          </w:p>
        </w:tc>
        <w:tc>
          <w:tcPr>
            <w:tcW w:w="1562" w:type="dxa"/>
          </w:tcPr>
          <w:p w:rsidR="006E254A" w:rsidRPr="006500BB" w:rsidRDefault="006E254A" w:rsidP="006E254A">
            <w:pPr>
              <w:pStyle w:val="ConsPlusNormal"/>
              <w:rPr>
                <w:szCs w:val="24"/>
              </w:rPr>
            </w:pPr>
          </w:p>
        </w:tc>
      </w:tr>
      <w:tr w:rsidR="006E254A" w:rsidRPr="006500BB" w:rsidTr="00BC5701">
        <w:tc>
          <w:tcPr>
            <w:tcW w:w="709" w:type="dxa"/>
          </w:tcPr>
          <w:p w:rsidR="006E254A" w:rsidRPr="006500BB" w:rsidRDefault="006E254A" w:rsidP="006E254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6E254A" w:rsidRDefault="006E254A" w:rsidP="006E254A">
            <w:pPr>
              <w:pStyle w:val="ConsPlusNormal"/>
            </w:pPr>
            <w:r>
              <w:t xml:space="preserve">Сумма, подлежащая взысканию с </w:t>
            </w:r>
            <w:r w:rsidR="00BC5701">
              <w:t>главных администраторов бюджетных средств</w:t>
            </w:r>
            <w:r>
              <w:t xml:space="preserve"> в связи с осуществлением им своих функций по поступившим на исполнение исполнительным документам в отчетном финансовом году</w:t>
            </w:r>
          </w:p>
        </w:tc>
        <w:tc>
          <w:tcPr>
            <w:tcW w:w="1559" w:type="dxa"/>
          </w:tcPr>
          <w:p w:rsidR="006E254A" w:rsidRDefault="00AD3300" w:rsidP="006E254A">
            <w:pPr>
              <w:pStyle w:val="ConsPlusNormal"/>
            </w:pPr>
            <w:r>
              <w:t>тыс. рублей</w:t>
            </w:r>
          </w:p>
        </w:tc>
        <w:tc>
          <w:tcPr>
            <w:tcW w:w="1562" w:type="dxa"/>
          </w:tcPr>
          <w:p w:rsidR="006E254A" w:rsidRPr="006500BB" w:rsidRDefault="006E254A" w:rsidP="006E254A">
            <w:pPr>
              <w:pStyle w:val="ConsPlusNormal"/>
              <w:rPr>
                <w:szCs w:val="24"/>
              </w:rPr>
            </w:pPr>
          </w:p>
        </w:tc>
      </w:tr>
      <w:tr w:rsidR="006E254A" w:rsidRPr="006500BB" w:rsidTr="00BC5701">
        <w:tc>
          <w:tcPr>
            <w:tcW w:w="709" w:type="dxa"/>
          </w:tcPr>
          <w:p w:rsidR="006E254A" w:rsidRPr="006500BB" w:rsidRDefault="006E254A" w:rsidP="006E254A">
            <w:pPr>
              <w:pStyle w:val="ConsPlusNormal"/>
              <w:numPr>
                <w:ilvl w:val="0"/>
                <w:numId w:val="2"/>
              </w:numPr>
              <w:rPr>
                <w:szCs w:val="24"/>
              </w:rPr>
            </w:pPr>
          </w:p>
        </w:tc>
        <w:tc>
          <w:tcPr>
            <w:tcW w:w="5812" w:type="dxa"/>
          </w:tcPr>
          <w:p w:rsidR="006E254A" w:rsidRDefault="006E254A" w:rsidP="006E254A">
            <w:pPr>
              <w:pStyle w:val="ConsPlusNormal"/>
            </w:pPr>
            <w:r>
              <w:t xml:space="preserve">Кассовое исполнение расходов </w:t>
            </w:r>
            <w:r w:rsidR="00BC5701">
              <w:t>главных администраторов бюджетных средств</w:t>
            </w:r>
            <w:r>
              <w:t xml:space="preserve"> в отчетном финансовом году</w:t>
            </w:r>
          </w:p>
        </w:tc>
        <w:tc>
          <w:tcPr>
            <w:tcW w:w="1559" w:type="dxa"/>
          </w:tcPr>
          <w:p w:rsidR="006E254A" w:rsidRDefault="00AD3300" w:rsidP="006E254A">
            <w:pPr>
              <w:pStyle w:val="ConsPlusNormal"/>
            </w:pPr>
            <w:r>
              <w:t>тыс. рублей</w:t>
            </w:r>
          </w:p>
        </w:tc>
        <w:tc>
          <w:tcPr>
            <w:tcW w:w="1562" w:type="dxa"/>
          </w:tcPr>
          <w:p w:rsidR="006E254A" w:rsidRPr="006500BB" w:rsidRDefault="006E254A" w:rsidP="006E254A">
            <w:pPr>
              <w:pStyle w:val="ConsPlusNormal"/>
              <w:rPr>
                <w:szCs w:val="24"/>
              </w:rPr>
            </w:pPr>
          </w:p>
        </w:tc>
      </w:tr>
    </w:tbl>
    <w:p w:rsidR="00136D33" w:rsidRPr="006500BB" w:rsidRDefault="00136D33" w:rsidP="00136D33">
      <w:pPr>
        <w:pStyle w:val="ConsPlusNormal"/>
        <w:jc w:val="right"/>
        <w:outlineLvl w:val="1"/>
        <w:rPr>
          <w:szCs w:val="24"/>
        </w:rPr>
      </w:pPr>
    </w:p>
    <w:p w:rsidR="00AD3300" w:rsidRDefault="00AD3300" w:rsidP="00AD3300">
      <w:pPr>
        <w:pStyle w:val="ConsPlusNormal"/>
        <w:ind w:firstLine="540"/>
        <w:jc w:val="both"/>
      </w:pPr>
      <w:r>
        <w:t>--------------------------------</w:t>
      </w:r>
    </w:p>
    <w:p w:rsidR="00AD3300" w:rsidRDefault="00AD3300" w:rsidP="00AD3300">
      <w:pPr>
        <w:pStyle w:val="ConsPlusNormal"/>
        <w:spacing w:before="240"/>
        <w:ind w:firstLine="540"/>
        <w:jc w:val="both"/>
      </w:pPr>
      <w:bookmarkStart w:id="3" w:name="P368"/>
      <w:bookmarkEnd w:id="3"/>
      <w:r>
        <w:t>1 Копия правового акта главного администратора бюджетных средств должна быть приложена к сведениям, представляемым главным администратором бюджетных средств.</w:t>
      </w:r>
    </w:p>
    <w:p w:rsidR="00AD3300" w:rsidRDefault="00EF5ACD" w:rsidP="00AD3300">
      <w:pPr>
        <w:pStyle w:val="ConsPlusNormal"/>
        <w:spacing w:before="240"/>
        <w:ind w:firstLine="540"/>
        <w:jc w:val="both"/>
      </w:pPr>
      <w:bookmarkStart w:id="4" w:name="P369"/>
      <w:bookmarkStart w:id="5" w:name="P371"/>
      <w:bookmarkEnd w:id="4"/>
      <w:bookmarkEnd w:id="5"/>
      <w:r>
        <w:t>2</w:t>
      </w:r>
      <w:r w:rsidR="00AD3300">
        <w:t xml:space="preserve"> Копия приказа главного администратора бюджетных средств об утверждении показателей эффективности по стимулирующим выплатам руководителям </w:t>
      </w:r>
      <w:r w:rsidR="009C1F38">
        <w:t>муниципаль</w:t>
      </w:r>
      <w:r w:rsidR="00AD3300">
        <w:t>ных учреждений либо копия контракта (трудового договора) руководителя (копии листов, содержащих положения, предусматривающие оценку эффективности деятельности руководителя) должны быть приложены к сведениям, представляемым главным администратором бюджетных средств.</w:t>
      </w:r>
    </w:p>
    <w:p w:rsidR="00220DC5" w:rsidRDefault="00220DC5" w:rsidP="00AD3300">
      <w:pPr>
        <w:pStyle w:val="ConsPlusNormal"/>
        <w:outlineLvl w:val="1"/>
        <w:rPr>
          <w:szCs w:val="24"/>
        </w:rPr>
      </w:pPr>
    </w:p>
    <w:p w:rsidR="009C1F38" w:rsidRDefault="009C1F38" w:rsidP="00AD3300">
      <w:pPr>
        <w:pStyle w:val="ConsPlusNormal"/>
        <w:outlineLvl w:val="1"/>
        <w:rPr>
          <w:szCs w:val="24"/>
        </w:rPr>
      </w:pPr>
    </w:p>
    <w:p w:rsidR="009C1F38" w:rsidRDefault="009C1F38" w:rsidP="00AD3300">
      <w:pPr>
        <w:pStyle w:val="ConsPlusNormal"/>
        <w:outlineLvl w:val="1"/>
        <w:rPr>
          <w:szCs w:val="24"/>
        </w:rPr>
      </w:pPr>
    </w:p>
    <w:p w:rsidR="009C1F38" w:rsidRDefault="009C1F38" w:rsidP="00AD3300">
      <w:pPr>
        <w:pStyle w:val="ConsPlusNormal"/>
        <w:outlineLvl w:val="1"/>
        <w:rPr>
          <w:szCs w:val="24"/>
        </w:rPr>
      </w:pPr>
    </w:p>
    <w:p w:rsidR="009C1F38" w:rsidRDefault="009C1F38" w:rsidP="00AD3300">
      <w:pPr>
        <w:pStyle w:val="ConsPlusNormal"/>
        <w:outlineLvl w:val="1"/>
        <w:rPr>
          <w:szCs w:val="24"/>
        </w:rPr>
      </w:pPr>
    </w:p>
    <w:p w:rsidR="009C1F38" w:rsidRDefault="009C1F38" w:rsidP="00AD3300">
      <w:pPr>
        <w:pStyle w:val="ConsPlusNormal"/>
        <w:outlineLvl w:val="1"/>
        <w:rPr>
          <w:szCs w:val="24"/>
        </w:rPr>
      </w:pPr>
    </w:p>
    <w:p w:rsidR="009C1F38" w:rsidRDefault="009C1F38" w:rsidP="00AD3300">
      <w:pPr>
        <w:pStyle w:val="ConsPlusNormal"/>
        <w:outlineLvl w:val="1"/>
        <w:rPr>
          <w:szCs w:val="24"/>
        </w:rPr>
      </w:pPr>
    </w:p>
    <w:p w:rsidR="009C1F38" w:rsidRDefault="009C1F38" w:rsidP="00AD3300">
      <w:pPr>
        <w:pStyle w:val="ConsPlusNormal"/>
        <w:outlineLvl w:val="1"/>
        <w:rPr>
          <w:szCs w:val="24"/>
        </w:rPr>
      </w:pPr>
    </w:p>
    <w:p w:rsidR="009C1F38" w:rsidRDefault="009C1F38" w:rsidP="00AD3300">
      <w:pPr>
        <w:pStyle w:val="ConsPlusNormal"/>
        <w:outlineLvl w:val="1"/>
        <w:rPr>
          <w:szCs w:val="24"/>
        </w:rPr>
      </w:pPr>
    </w:p>
    <w:p w:rsidR="009C1F38" w:rsidRDefault="009C1F38" w:rsidP="00AD3300">
      <w:pPr>
        <w:pStyle w:val="ConsPlusNormal"/>
        <w:outlineLvl w:val="1"/>
        <w:rPr>
          <w:szCs w:val="24"/>
        </w:rPr>
      </w:pPr>
    </w:p>
    <w:p w:rsidR="00220DC5" w:rsidRDefault="00220DC5" w:rsidP="00136D33">
      <w:pPr>
        <w:pStyle w:val="ConsPlusNormal"/>
        <w:jc w:val="right"/>
        <w:outlineLvl w:val="1"/>
        <w:rPr>
          <w:szCs w:val="24"/>
        </w:rPr>
      </w:pPr>
    </w:p>
    <w:p w:rsidR="00136D33" w:rsidRPr="006500BB" w:rsidRDefault="009C1F38" w:rsidP="00136D33">
      <w:pPr>
        <w:pStyle w:val="ConsPlusNormal"/>
        <w:jc w:val="right"/>
        <w:outlineLvl w:val="1"/>
        <w:rPr>
          <w:szCs w:val="24"/>
        </w:rPr>
      </w:pPr>
      <w:r>
        <w:rPr>
          <w:szCs w:val="24"/>
        </w:rPr>
        <w:lastRenderedPageBreak/>
        <w:t xml:space="preserve">Приложение </w:t>
      </w:r>
      <w:r w:rsidR="00EB47E7">
        <w:rPr>
          <w:szCs w:val="24"/>
        </w:rPr>
        <w:t>№</w:t>
      </w:r>
      <w:r w:rsidR="00136D33" w:rsidRPr="006500BB">
        <w:rPr>
          <w:szCs w:val="24"/>
        </w:rPr>
        <w:t xml:space="preserve"> </w:t>
      </w:r>
      <w:r w:rsidR="00EB47E7">
        <w:rPr>
          <w:szCs w:val="24"/>
        </w:rPr>
        <w:t>3</w:t>
      </w:r>
    </w:p>
    <w:p w:rsidR="00136D33" w:rsidRPr="006500BB" w:rsidRDefault="00136D33" w:rsidP="00136D33">
      <w:pPr>
        <w:pStyle w:val="ConsPlusNormal"/>
        <w:jc w:val="right"/>
        <w:rPr>
          <w:szCs w:val="24"/>
        </w:rPr>
      </w:pPr>
      <w:r w:rsidRPr="006500BB">
        <w:rPr>
          <w:szCs w:val="24"/>
        </w:rPr>
        <w:t>к порядку проведения мониторинга</w:t>
      </w:r>
    </w:p>
    <w:p w:rsidR="00136D33" w:rsidRPr="006500BB" w:rsidRDefault="00136D33" w:rsidP="00136D33">
      <w:pPr>
        <w:pStyle w:val="ConsPlusNormal"/>
        <w:jc w:val="right"/>
        <w:rPr>
          <w:szCs w:val="24"/>
        </w:rPr>
      </w:pPr>
      <w:r w:rsidRPr="006500BB">
        <w:rPr>
          <w:szCs w:val="24"/>
        </w:rPr>
        <w:t>качества финансового менеджмента</w:t>
      </w:r>
    </w:p>
    <w:p w:rsidR="00136D33" w:rsidRPr="006500BB" w:rsidRDefault="00136D33" w:rsidP="00136D33">
      <w:pPr>
        <w:pStyle w:val="ConsPlusNormal"/>
        <w:jc w:val="both"/>
        <w:rPr>
          <w:szCs w:val="24"/>
        </w:rPr>
      </w:pPr>
    </w:p>
    <w:p w:rsidR="00136D33" w:rsidRPr="006500BB" w:rsidRDefault="00136D33" w:rsidP="00136D33">
      <w:pPr>
        <w:pStyle w:val="ConsPlusNormal"/>
        <w:jc w:val="both"/>
        <w:rPr>
          <w:szCs w:val="24"/>
        </w:rPr>
      </w:pPr>
      <w:r w:rsidRPr="006500BB">
        <w:rPr>
          <w:szCs w:val="24"/>
        </w:rPr>
        <w:t>Форма</w:t>
      </w:r>
    </w:p>
    <w:p w:rsidR="00136D33" w:rsidRPr="006500BB" w:rsidRDefault="00136D33" w:rsidP="00136D33">
      <w:pPr>
        <w:pStyle w:val="ConsPlusNormal"/>
        <w:jc w:val="both"/>
        <w:rPr>
          <w:szCs w:val="24"/>
        </w:rPr>
      </w:pPr>
    </w:p>
    <w:p w:rsidR="00136D33" w:rsidRPr="00EB47E7" w:rsidRDefault="00136D33" w:rsidP="00136D33">
      <w:pPr>
        <w:pStyle w:val="ConsPlusNormal"/>
        <w:jc w:val="center"/>
        <w:rPr>
          <w:b/>
          <w:szCs w:val="24"/>
        </w:rPr>
      </w:pPr>
      <w:bookmarkStart w:id="6" w:name="P1102"/>
      <w:bookmarkEnd w:id="6"/>
      <w:r w:rsidRPr="00EB47E7">
        <w:rPr>
          <w:b/>
          <w:szCs w:val="24"/>
        </w:rPr>
        <w:t>МЕРОПРИЯТИЯ,</w:t>
      </w:r>
    </w:p>
    <w:p w:rsidR="00136D33" w:rsidRPr="00EB47E7" w:rsidRDefault="00136D33" w:rsidP="00136D33">
      <w:pPr>
        <w:pStyle w:val="ConsPlusNormal"/>
        <w:jc w:val="center"/>
        <w:rPr>
          <w:b/>
          <w:szCs w:val="24"/>
        </w:rPr>
      </w:pPr>
      <w:r w:rsidRPr="00EB47E7">
        <w:rPr>
          <w:b/>
          <w:szCs w:val="24"/>
        </w:rPr>
        <w:t>направленные на повышение качества финансового менеджмента</w:t>
      </w:r>
    </w:p>
    <w:p w:rsidR="00136D33" w:rsidRPr="006500BB" w:rsidRDefault="00136D33" w:rsidP="00136D33">
      <w:pPr>
        <w:pStyle w:val="ConsPlusNormal"/>
        <w:jc w:val="both"/>
        <w:rPr>
          <w:szCs w:val="24"/>
        </w:rPr>
      </w:pPr>
    </w:p>
    <w:p w:rsidR="00136D33" w:rsidRPr="006500BB" w:rsidRDefault="00136D33" w:rsidP="00136D33">
      <w:pPr>
        <w:pStyle w:val="ConsPlusNormal"/>
        <w:jc w:val="center"/>
        <w:rPr>
          <w:szCs w:val="24"/>
        </w:rPr>
      </w:pPr>
      <w:r w:rsidRPr="006500BB">
        <w:rPr>
          <w:szCs w:val="24"/>
        </w:rPr>
        <w:t>____________________________________________________________</w:t>
      </w:r>
    </w:p>
    <w:p w:rsidR="00136D33" w:rsidRPr="006500BB" w:rsidRDefault="00136D33" w:rsidP="00136D33">
      <w:pPr>
        <w:pStyle w:val="ConsPlusNormal"/>
        <w:jc w:val="center"/>
        <w:rPr>
          <w:szCs w:val="24"/>
        </w:rPr>
      </w:pPr>
      <w:r w:rsidRPr="006500BB">
        <w:rPr>
          <w:szCs w:val="24"/>
        </w:rPr>
        <w:t>(главный администратор бюджетных средств)</w:t>
      </w:r>
    </w:p>
    <w:p w:rsidR="00136D33" w:rsidRPr="006500BB" w:rsidRDefault="00136D33" w:rsidP="00136D33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2041"/>
        <w:gridCol w:w="2211"/>
        <w:gridCol w:w="2381"/>
        <w:gridCol w:w="1530"/>
      </w:tblGrid>
      <w:tr w:rsidR="00136D33" w:rsidRPr="006500BB" w:rsidTr="00382284">
        <w:tc>
          <w:tcPr>
            <w:tcW w:w="907" w:type="dxa"/>
          </w:tcPr>
          <w:p w:rsidR="00136D33" w:rsidRPr="006500BB" w:rsidRDefault="00136D33" w:rsidP="00382284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Номер строки</w:t>
            </w:r>
          </w:p>
        </w:tc>
        <w:tc>
          <w:tcPr>
            <w:tcW w:w="2041" w:type="dxa"/>
          </w:tcPr>
          <w:p w:rsidR="00136D33" w:rsidRPr="006500BB" w:rsidRDefault="00136D33" w:rsidP="00382284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136D33" w:rsidRPr="006500BB" w:rsidRDefault="00136D33" w:rsidP="00382284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Причина, приведшая к низкой оценке качества финансового менеджмента</w:t>
            </w:r>
          </w:p>
        </w:tc>
        <w:tc>
          <w:tcPr>
            <w:tcW w:w="2381" w:type="dxa"/>
          </w:tcPr>
          <w:p w:rsidR="00136D33" w:rsidRPr="006500BB" w:rsidRDefault="00136D33" w:rsidP="00382284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Мероприятия, направленные на повышение качества финансового менеджмента *</w:t>
            </w:r>
          </w:p>
        </w:tc>
        <w:tc>
          <w:tcPr>
            <w:tcW w:w="1530" w:type="dxa"/>
          </w:tcPr>
          <w:p w:rsidR="00136D33" w:rsidRPr="006500BB" w:rsidRDefault="00136D33" w:rsidP="00382284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Срок исполнения</w:t>
            </w:r>
          </w:p>
        </w:tc>
      </w:tr>
      <w:tr w:rsidR="00136D33" w:rsidRPr="006500BB" w:rsidTr="00382284">
        <w:tc>
          <w:tcPr>
            <w:tcW w:w="907" w:type="dxa"/>
          </w:tcPr>
          <w:p w:rsidR="00136D33" w:rsidRPr="006500BB" w:rsidRDefault="00136D33" w:rsidP="00382284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1</w:t>
            </w:r>
          </w:p>
        </w:tc>
        <w:tc>
          <w:tcPr>
            <w:tcW w:w="2041" w:type="dxa"/>
          </w:tcPr>
          <w:p w:rsidR="00136D33" w:rsidRPr="006500BB" w:rsidRDefault="00136D33" w:rsidP="00382284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2</w:t>
            </w:r>
          </w:p>
        </w:tc>
        <w:tc>
          <w:tcPr>
            <w:tcW w:w="2211" w:type="dxa"/>
          </w:tcPr>
          <w:p w:rsidR="00136D33" w:rsidRPr="006500BB" w:rsidRDefault="00136D33" w:rsidP="00382284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3</w:t>
            </w:r>
          </w:p>
        </w:tc>
        <w:tc>
          <w:tcPr>
            <w:tcW w:w="2381" w:type="dxa"/>
          </w:tcPr>
          <w:p w:rsidR="00136D33" w:rsidRPr="006500BB" w:rsidRDefault="00136D33" w:rsidP="00382284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4</w:t>
            </w:r>
          </w:p>
        </w:tc>
        <w:tc>
          <w:tcPr>
            <w:tcW w:w="1530" w:type="dxa"/>
          </w:tcPr>
          <w:p w:rsidR="00136D33" w:rsidRPr="006500BB" w:rsidRDefault="00136D33" w:rsidP="00382284">
            <w:pPr>
              <w:pStyle w:val="ConsPlusNormal"/>
              <w:jc w:val="center"/>
              <w:rPr>
                <w:szCs w:val="24"/>
              </w:rPr>
            </w:pPr>
            <w:r w:rsidRPr="006500BB">
              <w:rPr>
                <w:szCs w:val="24"/>
              </w:rPr>
              <w:t>5</w:t>
            </w:r>
          </w:p>
        </w:tc>
      </w:tr>
      <w:tr w:rsidR="00136D33" w:rsidRPr="006500BB" w:rsidTr="00382284">
        <w:tc>
          <w:tcPr>
            <w:tcW w:w="907" w:type="dxa"/>
          </w:tcPr>
          <w:p w:rsidR="00136D33" w:rsidRPr="006500BB" w:rsidRDefault="00136D33" w:rsidP="00382284">
            <w:pPr>
              <w:pStyle w:val="ConsPlusNormal"/>
              <w:rPr>
                <w:szCs w:val="24"/>
              </w:rPr>
            </w:pPr>
          </w:p>
        </w:tc>
        <w:tc>
          <w:tcPr>
            <w:tcW w:w="2041" w:type="dxa"/>
          </w:tcPr>
          <w:p w:rsidR="00136D33" w:rsidRPr="006500BB" w:rsidRDefault="00136D33" w:rsidP="00382284">
            <w:pPr>
              <w:pStyle w:val="ConsPlusNormal"/>
              <w:rPr>
                <w:szCs w:val="24"/>
              </w:rPr>
            </w:pPr>
          </w:p>
        </w:tc>
        <w:tc>
          <w:tcPr>
            <w:tcW w:w="2211" w:type="dxa"/>
          </w:tcPr>
          <w:p w:rsidR="00136D33" w:rsidRPr="006500BB" w:rsidRDefault="00136D33" w:rsidP="00382284">
            <w:pPr>
              <w:pStyle w:val="ConsPlusNormal"/>
              <w:rPr>
                <w:szCs w:val="24"/>
              </w:rPr>
            </w:pPr>
          </w:p>
        </w:tc>
        <w:tc>
          <w:tcPr>
            <w:tcW w:w="2381" w:type="dxa"/>
          </w:tcPr>
          <w:p w:rsidR="00136D33" w:rsidRPr="006500BB" w:rsidRDefault="00136D33" w:rsidP="00382284">
            <w:pPr>
              <w:pStyle w:val="ConsPlusNormal"/>
              <w:rPr>
                <w:szCs w:val="24"/>
              </w:rPr>
            </w:pPr>
          </w:p>
        </w:tc>
        <w:tc>
          <w:tcPr>
            <w:tcW w:w="1530" w:type="dxa"/>
          </w:tcPr>
          <w:p w:rsidR="00136D33" w:rsidRPr="006500BB" w:rsidRDefault="00136D33" w:rsidP="00382284">
            <w:pPr>
              <w:pStyle w:val="ConsPlusNormal"/>
              <w:rPr>
                <w:szCs w:val="24"/>
              </w:rPr>
            </w:pPr>
          </w:p>
        </w:tc>
      </w:tr>
    </w:tbl>
    <w:p w:rsidR="00136D33" w:rsidRPr="006500BB" w:rsidRDefault="00136D33" w:rsidP="00136D33">
      <w:pPr>
        <w:pStyle w:val="ConsPlusNormal"/>
        <w:jc w:val="both"/>
        <w:rPr>
          <w:szCs w:val="24"/>
        </w:rPr>
      </w:pPr>
    </w:p>
    <w:p w:rsidR="00136D33" w:rsidRPr="006500BB" w:rsidRDefault="00136D33" w:rsidP="00136D33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--------------------------------</w:t>
      </w:r>
    </w:p>
    <w:p w:rsidR="00136D33" w:rsidRPr="006500BB" w:rsidRDefault="00136D33" w:rsidP="00136D33">
      <w:pPr>
        <w:pStyle w:val="ConsPlusNormal"/>
        <w:spacing w:before="240"/>
        <w:ind w:firstLine="540"/>
        <w:jc w:val="both"/>
        <w:rPr>
          <w:szCs w:val="24"/>
        </w:rPr>
      </w:pPr>
      <w:r w:rsidRPr="006500BB">
        <w:rPr>
          <w:szCs w:val="24"/>
        </w:rPr>
        <w:t>* Мероприятия, направленные на повышение качества финансового менеджмента, могут включать:</w:t>
      </w:r>
    </w:p>
    <w:p w:rsidR="00136D33" w:rsidRPr="006500BB" w:rsidRDefault="00136D33" w:rsidP="00136D33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1) разработку, актуализацию правовых актов, регламентирующих осуществление финансового менеджмента;</w:t>
      </w:r>
    </w:p>
    <w:p w:rsidR="00136D33" w:rsidRPr="006500BB" w:rsidRDefault="00136D33" w:rsidP="00136D33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2) установление (изменение) в положениях о структурных подразделениях, в должностных регламентах (инструкциях) работников обязанностей и полномочий по выполнению бюджетных процедур, в том числе по осуществлению внутреннего финансового контроля;</w:t>
      </w:r>
    </w:p>
    <w:p w:rsidR="00136D33" w:rsidRPr="006500BB" w:rsidRDefault="00136D33" w:rsidP="00136D33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3) совершенствование информационного взаимодействия между структурными подразделениями (работниками), осуществляемого при выполнении бюджетных процедур;</w:t>
      </w:r>
    </w:p>
    <w:p w:rsidR="00136D33" w:rsidRPr="006500BB" w:rsidRDefault="00136D33" w:rsidP="00136D33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4) закупку и введение в эксплуатацию оборудования, средств автоматизации, направленных на повышение качества информационного взаимодействия и сокращение сроков подготовки документов;</w:t>
      </w:r>
    </w:p>
    <w:p w:rsidR="00136D33" w:rsidRPr="006500BB" w:rsidRDefault="00136D33" w:rsidP="00136D33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5) проверку соответствия квалификации руководителей структурных подразделений и работников, осуществляющих процедуры в рамках финансового менеджмента, установленным квалификационным требованиям, организацию повышения квалификации и проведения переподготовки;</w:t>
      </w:r>
    </w:p>
    <w:p w:rsidR="00136D33" w:rsidRPr="006500BB" w:rsidRDefault="00136D33" w:rsidP="00136D33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6) разработку, актуализацию правовых актов о материальном стимулировании (дисциплинарной ответственности) должностных лиц за добросовестное (недобросовестное) исполнение обязанностей при осуществлении бюджетных процедур;</w:t>
      </w:r>
    </w:p>
    <w:p w:rsidR="00136D33" w:rsidRPr="006500BB" w:rsidRDefault="00136D33" w:rsidP="00136D33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7) меры по минимизации (устранению) бюджетных рисков, предупреждению бюджетных нарушений;</w:t>
      </w:r>
    </w:p>
    <w:p w:rsidR="00136D33" w:rsidRPr="006500BB" w:rsidRDefault="00136D33" w:rsidP="00136D33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8) проведение сравнительного анализа результативности и эффективности бюджетных расходов по однотипным подведомственным муниципальным учреждениям;</w:t>
      </w:r>
    </w:p>
    <w:p w:rsidR="00310CC2" w:rsidRPr="006500BB" w:rsidRDefault="00136D33" w:rsidP="00136D33">
      <w:pPr>
        <w:pStyle w:val="ConsPlusNormal"/>
        <w:ind w:firstLine="540"/>
        <w:jc w:val="both"/>
        <w:rPr>
          <w:szCs w:val="24"/>
        </w:rPr>
      </w:pPr>
      <w:r w:rsidRPr="006500BB">
        <w:rPr>
          <w:szCs w:val="24"/>
        </w:rPr>
        <w:t>9) анализ структуры затрат на проведение мероприятий в рамках осуществления текущей деятельности как непосредственно главными администраторами бюджетных средств, так и подведомственными муниципальными учреждениями.</w:t>
      </w:r>
    </w:p>
    <w:sectPr w:rsidR="00310CC2" w:rsidRPr="00650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A735B"/>
    <w:multiLevelType w:val="hybridMultilevel"/>
    <w:tmpl w:val="78107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72B94"/>
    <w:multiLevelType w:val="hybridMultilevel"/>
    <w:tmpl w:val="FAB2159A"/>
    <w:lvl w:ilvl="0" w:tplc="741E3E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F3F"/>
    <w:rsid w:val="000A6984"/>
    <w:rsid w:val="001016D1"/>
    <w:rsid w:val="00102388"/>
    <w:rsid w:val="00111E75"/>
    <w:rsid w:val="00120E88"/>
    <w:rsid w:val="00136D33"/>
    <w:rsid w:val="00220DC5"/>
    <w:rsid w:val="00223EC8"/>
    <w:rsid w:val="00241774"/>
    <w:rsid w:val="00254691"/>
    <w:rsid w:val="00266E4E"/>
    <w:rsid w:val="00310CC2"/>
    <w:rsid w:val="003331E4"/>
    <w:rsid w:val="0038378A"/>
    <w:rsid w:val="003A28ED"/>
    <w:rsid w:val="00407588"/>
    <w:rsid w:val="00436D76"/>
    <w:rsid w:val="0046365E"/>
    <w:rsid w:val="004B6AAA"/>
    <w:rsid w:val="005510D6"/>
    <w:rsid w:val="005A1B00"/>
    <w:rsid w:val="005C39BF"/>
    <w:rsid w:val="005D21C9"/>
    <w:rsid w:val="006500BB"/>
    <w:rsid w:val="006602B8"/>
    <w:rsid w:val="006C6BDE"/>
    <w:rsid w:val="006E19A8"/>
    <w:rsid w:val="006E254A"/>
    <w:rsid w:val="006F4C1B"/>
    <w:rsid w:val="0074719D"/>
    <w:rsid w:val="007B3F6D"/>
    <w:rsid w:val="007C6773"/>
    <w:rsid w:val="00822F3F"/>
    <w:rsid w:val="00891BBF"/>
    <w:rsid w:val="008C4941"/>
    <w:rsid w:val="008F0626"/>
    <w:rsid w:val="00942A7A"/>
    <w:rsid w:val="009C1F38"/>
    <w:rsid w:val="00AD3300"/>
    <w:rsid w:val="00AD5DBF"/>
    <w:rsid w:val="00B2357A"/>
    <w:rsid w:val="00B2650D"/>
    <w:rsid w:val="00BC5701"/>
    <w:rsid w:val="00C41630"/>
    <w:rsid w:val="00C9618B"/>
    <w:rsid w:val="00CA59CA"/>
    <w:rsid w:val="00D100B3"/>
    <w:rsid w:val="00D40F31"/>
    <w:rsid w:val="00DE226C"/>
    <w:rsid w:val="00E163DF"/>
    <w:rsid w:val="00EB47E7"/>
    <w:rsid w:val="00EF5ACD"/>
    <w:rsid w:val="00F128B6"/>
    <w:rsid w:val="00F64AA6"/>
    <w:rsid w:val="00F82035"/>
    <w:rsid w:val="00F95724"/>
    <w:rsid w:val="00FA67CA"/>
    <w:rsid w:val="00FE45DC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35C9A"/>
  <w15:chartTrackingRefBased/>
  <w15:docId w15:val="{E1BB911D-5ADD-4C4A-8065-F1CFD2EA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2F3F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F3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822F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customStyle="1" w:styleId="ConsPlusTitlePage">
    <w:name w:val="ConsPlusTitlePage"/>
    <w:rsid w:val="00136D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B6A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1F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1F3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395&amp;date=25.02.2025&amp;dst=100015&amp;fie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www.bus.gov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8AA80DC27FBE610EDD3C94C4818BCEEA39E10A33C948F85AB05CBFA387F8F656DEE8E7EECEEES1XA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6154&amp;date=25.02.20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154&amp;date=25.02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3E38-5BA9-4AAC-A264-371CA1107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9</Pages>
  <Words>3333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SchurovaIS</cp:lastModifiedBy>
  <cp:revision>38</cp:revision>
  <cp:lastPrinted>2025-03-07T04:28:00Z</cp:lastPrinted>
  <dcterms:created xsi:type="dcterms:W3CDTF">2025-02-25T10:42:00Z</dcterms:created>
  <dcterms:modified xsi:type="dcterms:W3CDTF">2025-03-11T07:35:00Z</dcterms:modified>
</cp:coreProperties>
</file>